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F80616" w:rsidRPr="00A56A81" w:rsidTr="00D10BE7">
        <w:tc>
          <w:tcPr>
            <w:tcW w:w="1809" w:type="dxa"/>
          </w:tcPr>
          <w:p w:rsidR="00F80616" w:rsidRDefault="00F80616" w:rsidP="00D10BE7"/>
          <w:p w:rsidR="00F80616" w:rsidRDefault="00F80616" w:rsidP="00D10BE7"/>
        </w:tc>
        <w:tc>
          <w:tcPr>
            <w:tcW w:w="7797" w:type="dxa"/>
          </w:tcPr>
          <w:p w:rsidR="00F80616" w:rsidRPr="00865FDF" w:rsidRDefault="004C2706" w:rsidP="00D10B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: FP/MED/29/06/2016</w:t>
            </w:r>
          </w:p>
        </w:tc>
      </w:tr>
      <w:tr w:rsidR="00F80616" w:rsidTr="004C2706">
        <w:trPr>
          <w:trHeight w:val="872"/>
        </w:trPr>
        <w:tc>
          <w:tcPr>
            <w:tcW w:w="1809" w:type="dxa"/>
          </w:tcPr>
          <w:p w:rsidR="00F80616" w:rsidRPr="00FF7A51" w:rsidRDefault="00F00E24" w:rsidP="00D10BE7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53FE02" wp14:editId="5E4457BC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-291465</wp:posOffset>
                      </wp:positionV>
                      <wp:extent cx="1076325" cy="8477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FDF" w:rsidRDefault="00865FDF" w:rsidP="00F80616">
                                  <w:r w:rsidRPr="00C13B7D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3A39CCE" wp14:editId="36C34BCD">
                                        <wp:extent cx="904172" cy="723852"/>
                                        <wp:effectExtent l="0" t="0" r="0" b="635"/>
                                        <wp:docPr id="3" name="Image 1" descr="cid:image005.png@01CA588A.339081C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cid:image005.png@01CA588A.339081C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277" cy="777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3F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75pt;margin-top:-22.95pt;width:84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mGQAIAAIcEAAAOAAAAZHJzL2Uyb0RvYy54bWysVNtu2zAMfR+wfxD0vthJk6Yz6hRduw4D&#10;ugvQ7gNkWbaFSaImKbG7rx8lpam3vQ3zgyBedEgekr68mrQiB+G8BFPT5aKkRBgOrTR9Tb893r25&#10;oMQHZlqmwIiaPglPr3avX12OthIrGEC1whEEMb4abU2HEGxVFJ4PQjO/ACsMGjtwmgUUXV+0jo2I&#10;rlWxKsvzYgTXWgdceI/a22yku4TfdYKHL13nRSCqpphbSKdLZxPPYnfJqt4xO0h+TIP9QxaaSYNB&#10;T1C3LDCyd/IvKC25Aw9dWHDQBXSd5CLVgNUsyz+qeRiYFakWJMfbE03+/8Hyz4evjsgWe0eJYRpb&#10;9CimQN7BRFaRndH6Cp0eLLqFCdXRM1bq7T3w754YuBmY6cW1czAOgrWY3TK+LGZPM46PIM34CVoM&#10;w/YBEtDUOR0BkQyC6Nilp1NnYio8hiy352erDSUcbRfr7RbvMQSrnl9b58MHAZrES00ddj6hs8O9&#10;D9n12SVlD0q2d1KpJLi+uVGOHBhOyV36juh+7qYMGWt6ttxuMgFzWxpYcQJp+kyS2musNgMvy/hF&#10;YFahHucy65MKKzlBpLp+i6xlwC1RUmPxM5TI9nvTJsTApMp3hFLmSH9kPHMfpmZCx9iTBtonbISD&#10;vA24vXgZwP2kZMRNqKn/sWdOUKI+Gmzm2+V6HVcnCevNdoWCm1uauYUZjlA1DZTk603I67a3TvYD&#10;RsrMGLjGAehk6s1LVse8cdoTC8fNjOs0l5PXy/9j9wsAAP//AwBQSwMEFAAGAAgAAAAhADfiRCPf&#10;AAAACQEAAA8AAABkcnMvZG93bnJldi54bWxMj8tOwzAQRfeV+AdrkNi1Di15EOJUEQKJTVUR+AAn&#10;niZR/Yhipw1/z3QFq9Foju6cW+wXo9kFJz84K+BxEwFD2zo12E7A99f7OgPmg7RKamdRwA962Jd3&#10;q0Lmyl3tJ17q0DEKsT6XAvoQxpxz3/ZopN+4ES3dTm4yMtA6dVxN8krhRvNtFCXcyMHSh16O+Npj&#10;e65nI2AXH8/VsZurrE53/Wk+NPrjrRHi4X6pXoAFXMIfDDd9UoeSnBo3W+WZFrBOYyJpPsXPwG5A&#10;sqVyjYAsTYCXBf/foPwFAAD//wMAUEsBAi0AFAAGAAgAAAAhALaDOJL+AAAA4QEAABMAAAAAAAAA&#10;AAAAAAAAAAAAAFtDb250ZW50X1R5cGVzXS54bWxQSwECLQAUAAYACAAAACEAOP0h/9YAAACUAQAA&#10;CwAAAAAAAAAAAAAAAAAvAQAAX3JlbHMvLnJlbHNQSwECLQAUAAYACAAAACEAlPvphkACAACHBAAA&#10;DgAAAAAAAAAAAAAAAAAuAgAAZHJzL2Uyb0RvYy54bWxQSwECLQAUAAYACAAAACEAN+JEI98AAAAJ&#10;AQAADwAAAAAAAAAAAAAAAACaBAAAZHJzL2Rvd25yZXYueG1sUEsFBgAAAAAEAAQA8wAAAKYFAAAA&#10;AA==&#10;" strokecolor="white [3212]" strokeweight=".25pt">
                      <v:textbox>
                        <w:txbxContent>
                          <w:p w:rsidR="00865FDF" w:rsidRDefault="00865FDF" w:rsidP="00F80616">
                            <w:r w:rsidRPr="00C13B7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A39CCE" wp14:editId="36C34BCD">
                                  <wp:extent cx="904172" cy="723852"/>
                                  <wp:effectExtent l="0" t="0" r="0" b="635"/>
                                  <wp:docPr id="3" name="Image 1" descr="cid:image005.png@01CA588A.339081C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id:image005.png@01CA588A.339081C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277" cy="77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0616" w:rsidRPr="00FF7A51" w:rsidRDefault="00F80616" w:rsidP="00D10BE7">
            <w:pPr>
              <w:rPr>
                <w:lang w:val="en-US"/>
              </w:rPr>
            </w:pPr>
          </w:p>
          <w:p w:rsidR="00F80616" w:rsidRPr="00FF7A51" w:rsidRDefault="00F80616" w:rsidP="00D10BE7">
            <w:pPr>
              <w:rPr>
                <w:lang w:val="en-US"/>
              </w:rPr>
            </w:pPr>
          </w:p>
          <w:p w:rsidR="00F80616" w:rsidRPr="00FF7A51" w:rsidRDefault="00F80616" w:rsidP="00D10BE7">
            <w:pPr>
              <w:rPr>
                <w:lang w:val="en-US"/>
              </w:rPr>
            </w:pPr>
          </w:p>
        </w:tc>
        <w:tc>
          <w:tcPr>
            <w:tcW w:w="7797" w:type="dxa"/>
          </w:tcPr>
          <w:p w:rsidR="00F80616" w:rsidRPr="00865FDF" w:rsidRDefault="00F80616" w:rsidP="00D10B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65F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FICHE DE POSTE</w:t>
            </w:r>
          </w:p>
          <w:p w:rsidR="00F80616" w:rsidRDefault="00A56A81" w:rsidP="00D10BE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MEDECIN</w:t>
            </w:r>
            <w:r w:rsidR="004C270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205F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DU TRAVAIL </w:t>
            </w:r>
            <w:r w:rsidR="004C270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COORDINATEUR</w:t>
            </w:r>
          </w:p>
        </w:tc>
      </w:tr>
    </w:tbl>
    <w:p w:rsidR="00A820BB" w:rsidRDefault="00A820BB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80616" w:rsidRPr="00F80616" w:rsidTr="00FF7A51">
        <w:tc>
          <w:tcPr>
            <w:tcW w:w="2660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D10BE7" w:rsidRDefault="00D10BE7" w:rsidP="00D10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Intitulé du poste</w:t>
            </w:r>
          </w:p>
        </w:tc>
        <w:tc>
          <w:tcPr>
            <w:tcW w:w="6946" w:type="dxa"/>
          </w:tcPr>
          <w:p w:rsidR="00865FDF" w:rsidRDefault="00865FD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C6000E" w:rsidRPr="00865FDF" w:rsidRDefault="004C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Médecin du travail coordinateur</w:t>
            </w:r>
          </w:p>
        </w:tc>
      </w:tr>
      <w:tr w:rsidR="00F80616" w:rsidRPr="00F80616" w:rsidTr="00FF7A51">
        <w:tc>
          <w:tcPr>
            <w:tcW w:w="2660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D10BE7" w:rsidRDefault="00D1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Nature du poste</w:t>
            </w:r>
          </w:p>
        </w:tc>
        <w:tc>
          <w:tcPr>
            <w:tcW w:w="6946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DF" w:rsidRPr="00865FDF" w:rsidRDefault="0086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Médicale</w:t>
            </w:r>
          </w:p>
        </w:tc>
      </w:tr>
    </w:tbl>
    <w:p w:rsidR="00F80616" w:rsidRPr="00F80616" w:rsidRDefault="00F80616">
      <w:pPr>
        <w:rPr>
          <w:sz w:val="16"/>
          <w:szCs w:val="16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80616" w:rsidRPr="00F80616" w:rsidTr="00D10BE7">
        <w:tc>
          <w:tcPr>
            <w:tcW w:w="9606" w:type="dxa"/>
            <w:gridSpan w:val="2"/>
            <w:shd w:val="clear" w:color="auto" w:fill="FDE9D9" w:themeFill="accent6" w:themeFillTint="33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D10BE7" w:rsidRDefault="00D10BE7" w:rsidP="00D1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IDENTITE  DU  SALARIE</w:t>
            </w:r>
          </w:p>
        </w:tc>
      </w:tr>
      <w:tr w:rsidR="00F80616" w:rsidRPr="00F80616" w:rsidTr="00FF7A51">
        <w:tc>
          <w:tcPr>
            <w:tcW w:w="2660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D10BE7" w:rsidRDefault="00D1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Nom –Prénom</w:t>
            </w:r>
          </w:p>
        </w:tc>
        <w:tc>
          <w:tcPr>
            <w:tcW w:w="6946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DF" w:rsidRPr="00865FDF" w:rsidRDefault="00195E84" w:rsidP="009F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Docteur </w:t>
            </w:r>
            <w:r w:rsidR="009F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XXX</w:t>
            </w:r>
          </w:p>
        </w:tc>
      </w:tr>
      <w:tr w:rsidR="00F80616" w:rsidRPr="00F80616" w:rsidTr="00FF7A51">
        <w:tc>
          <w:tcPr>
            <w:tcW w:w="2660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D10BE7" w:rsidRDefault="00D1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Statu, grade</w:t>
            </w:r>
          </w:p>
        </w:tc>
        <w:tc>
          <w:tcPr>
            <w:tcW w:w="6946" w:type="dxa"/>
          </w:tcPr>
          <w:p w:rsidR="00F80616" w:rsidRDefault="00F8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DF" w:rsidRPr="00865FDF" w:rsidRDefault="001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Cadre – Classe 21</w:t>
            </w:r>
          </w:p>
        </w:tc>
      </w:tr>
    </w:tbl>
    <w:p w:rsidR="00F80616" w:rsidRDefault="00F80616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80616" w:rsidRPr="00F80616" w:rsidTr="0019183F">
        <w:trPr>
          <w:trHeight w:val="451"/>
        </w:trPr>
        <w:tc>
          <w:tcPr>
            <w:tcW w:w="9606" w:type="dxa"/>
            <w:shd w:val="clear" w:color="auto" w:fill="FDE9D9" w:themeFill="accent6" w:themeFillTint="33"/>
          </w:tcPr>
          <w:p w:rsidR="00FF7A51" w:rsidRPr="00D10BE7" w:rsidRDefault="00D10BE7" w:rsidP="0019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POSITIONNEMENT DANS L’ORGANIGRAMME</w:t>
            </w:r>
          </w:p>
        </w:tc>
      </w:tr>
      <w:tr w:rsidR="00F80616" w:rsidRPr="00F80616" w:rsidTr="00FF7A51">
        <w:tc>
          <w:tcPr>
            <w:tcW w:w="9606" w:type="dxa"/>
          </w:tcPr>
          <w:p w:rsidR="00F80616" w:rsidRPr="00F80616" w:rsidRDefault="00865FDF" w:rsidP="009F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Monsieur </w:t>
            </w:r>
            <w:r w:rsidR="00195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le docteur </w:t>
            </w:r>
            <w:r w:rsidR="009F3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XXX</w:t>
            </w:r>
            <w:r w:rsidRPr="0086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est sous l’autorité de la Direction </w:t>
            </w:r>
            <w:r w:rsidR="004C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générale </w:t>
            </w:r>
            <w:r w:rsidRPr="0086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 s</w:t>
            </w:r>
            <w:r w:rsidR="004C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ervice</w:t>
            </w:r>
          </w:p>
        </w:tc>
      </w:tr>
    </w:tbl>
    <w:p w:rsidR="00F80616" w:rsidRDefault="00F80616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F7A51" w:rsidRPr="00FF7A51" w:rsidTr="00CB2D63">
        <w:tc>
          <w:tcPr>
            <w:tcW w:w="9606" w:type="dxa"/>
            <w:gridSpan w:val="2"/>
            <w:shd w:val="clear" w:color="auto" w:fill="FDE9D9" w:themeFill="accent6" w:themeFillTint="33"/>
          </w:tcPr>
          <w:p w:rsidR="00FF7A51" w:rsidRDefault="00FF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D10BE7" w:rsidRDefault="00D10BE7" w:rsidP="00D1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MISSION ET ACTIVITE</w:t>
            </w:r>
          </w:p>
        </w:tc>
      </w:tr>
      <w:tr w:rsidR="00FF7A51" w:rsidRPr="00FF7A51" w:rsidTr="00CB2D63">
        <w:tc>
          <w:tcPr>
            <w:tcW w:w="2660" w:type="dxa"/>
          </w:tcPr>
          <w:p w:rsidR="00D10BE7" w:rsidRPr="00D10BE7" w:rsidRDefault="00D1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Raison d’être </w:t>
            </w:r>
          </w:p>
          <w:p w:rsidR="00D10BE7" w:rsidRPr="00FF7A51" w:rsidRDefault="00D1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Finalité du poste</w:t>
            </w:r>
          </w:p>
        </w:tc>
        <w:tc>
          <w:tcPr>
            <w:tcW w:w="6946" w:type="dxa"/>
          </w:tcPr>
          <w:p w:rsidR="004C2706" w:rsidRDefault="004C2706" w:rsidP="004C2706">
            <w:pPr>
              <w:jc w:val="both"/>
              <w:rPr>
                <w:rFonts w:ascii="Times New Roman" w:hAnsi="Times New Roman" w:cs="Times New Roman"/>
              </w:rPr>
            </w:pPr>
            <w:r w:rsidRPr="004C2706">
              <w:rPr>
                <w:rFonts w:ascii="Times New Roman" w:hAnsi="Times New Roman" w:cs="Times New Roman"/>
              </w:rPr>
              <w:t>Le médecin coordinateur est rattaché hiérarchiquement et re</w:t>
            </w:r>
            <w:r>
              <w:rPr>
                <w:rFonts w:ascii="Times New Roman" w:hAnsi="Times New Roman" w:cs="Times New Roman"/>
              </w:rPr>
              <w:t>nd compte au Directeur Général.</w:t>
            </w:r>
          </w:p>
          <w:p w:rsidR="004C2706" w:rsidRPr="004C2706" w:rsidRDefault="004C2706" w:rsidP="004C2706">
            <w:pPr>
              <w:jc w:val="both"/>
              <w:rPr>
                <w:rFonts w:ascii="Times New Roman" w:hAnsi="Times New Roman" w:cs="Times New Roman"/>
              </w:rPr>
            </w:pPr>
            <w:r w:rsidRPr="004C2706">
              <w:rPr>
                <w:rFonts w:ascii="Times New Roman" w:hAnsi="Times New Roman" w:cs="Times New Roman"/>
              </w:rPr>
              <w:t>Le médecin coordinateur est membre du Comité de Direction.</w:t>
            </w:r>
            <w:r>
              <w:rPr>
                <w:rFonts w:ascii="Times New Roman" w:hAnsi="Times New Roman" w:cs="Times New Roman"/>
              </w:rPr>
              <w:t xml:space="preserve"> Il met à la disposition de l’ASTE</w:t>
            </w:r>
            <w:r w:rsidRPr="004C2706">
              <w:rPr>
                <w:rFonts w:ascii="Times New Roman" w:hAnsi="Times New Roman" w:cs="Times New Roman"/>
              </w:rPr>
              <w:t xml:space="preserve"> et de ses instances de gouvernance son expertise technique (médicale, juridique et organisationnelle) et joue pour cela un rôle de conseil et de support. A cette </w:t>
            </w:r>
            <w:bookmarkStart w:id="0" w:name="_GoBack"/>
            <w:bookmarkEnd w:id="0"/>
            <w:r w:rsidRPr="004C2706">
              <w:rPr>
                <w:rFonts w:ascii="Times New Roman" w:hAnsi="Times New Roman" w:cs="Times New Roman"/>
              </w:rPr>
              <w:t xml:space="preserve">fin, Il assiste aux différentes instances de gouvernance notamment au Conseil d’administration, à la Commission </w:t>
            </w:r>
            <w:proofErr w:type="spellStart"/>
            <w:r w:rsidRPr="004C2706">
              <w:rPr>
                <w:rFonts w:ascii="Times New Roman" w:hAnsi="Times New Roman" w:cs="Times New Roman"/>
              </w:rPr>
              <w:t>médico-technique</w:t>
            </w:r>
            <w:proofErr w:type="spellEnd"/>
            <w:r w:rsidRPr="004C2706">
              <w:rPr>
                <w:rFonts w:ascii="Times New Roman" w:hAnsi="Times New Roman" w:cs="Times New Roman"/>
              </w:rPr>
              <w:t xml:space="preserve"> et à la Commission de contrôle ; le médecin coordinateur, à la demande du Directeur Général, participe aux réunions avec l’autorité de tutelle et suivant le sujet, prend en charge les relations av</w:t>
            </w:r>
            <w:r>
              <w:rPr>
                <w:rFonts w:ascii="Times New Roman" w:hAnsi="Times New Roman" w:cs="Times New Roman"/>
              </w:rPr>
              <w:t>ec les partenaires extérieurs</w:t>
            </w:r>
            <w:r w:rsidRPr="004C2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 l’ASTE</w:t>
            </w:r>
            <w:r w:rsidRPr="004C2706">
              <w:rPr>
                <w:rFonts w:ascii="Times New Roman" w:hAnsi="Times New Roman" w:cs="Times New Roman"/>
              </w:rPr>
              <w:t>.</w:t>
            </w:r>
          </w:p>
          <w:p w:rsidR="004C2706" w:rsidRPr="004C2706" w:rsidRDefault="004C2706" w:rsidP="004C2706">
            <w:pPr>
              <w:jc w:val="both"/>
              <w:rPr>
                <w:rFonts w:ascii="Times New Roman" w:hAnsi="Times New Roman" w:cs="Times New Roman"/>
              </w:rPr>
            </w:pPr>
            <w:r w:rsidRPr="004C2706">
              <w:rPr>
                <w:rFonts w:ascii="Times New Roman" w:hAnsi="Times New Roman" w:cs="Times New Roman"/>
              </w:rPr>
              <w:t>Le médecin coordinateur est le référent technique</w:t>
            </w:r>
            <w:r>
              <w:rPr>
                <w:rFonts w:ascii="Times New Roman" w:hAnsi="Times New Roman" w:cs="Times New Roman"/>
              </w:rPr>
              <w:t xml:space="preserve"> des médecins du travail de l’ASTE</w:t>
            </w:r>
            <w:r w:rsidRPr="004C2706">
              <w:rPr>
                <w:rFonts w:ascii="Times New Roman" w:hAnsi="Times New Roman" w:cs="Times New Roman"/>
              </w:rPr>
              <w:t xml:space="preserve"> sur le plan fonctionnel et assure un rôle d’animateur afin de leur procurer les informations à jour en matière médicale et juridique.</w:t>
            </w:r>
          </w:p>
          <w:p w:rsidR="00CB2D63" w:rsidRPr="00865FDF" w:rsidRDefault="004C2706" w:rsidP="004C270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2706">
              <w:rPr>
                <w:rFonts w:ascii="Times New Roman" w:hAnsi="Times New Roman" w:cs="Times New Roman"/>
              </w:rPr>
              <w:t xml:space="preserve">Le médecin coordinateur contribue par ses actions, notamment par sa présence à la CMT, à l’élaboration et au déploiement du projet de service </w:t>
            </w:r>
            <w:r>
              <w:rPr>
                <w:rFonts w:ascii="Times New Roman" w:hAnsi="Times New Roman" w:cs="Times New Roman"/>
              </w:rPr>
              <w:t>de l’ASTE</w:t>
            </w:r>
            <w:r w:rsidRPr="004C2706">
              <w:rPr>
                <w:rFonts w:ascii="Times New Roman" w:hAnsi="Times New Roman" w:cs="Times New Roman"/>
              </w:rPr>
              <w:t xml:space="preserve"> et du suivi de sa réalisation en étroite collaboration avec le Directeur Général.</w:t>
            </w:r>
          </w:p>
        </w:tc>
      </w:tr>
    </w:tbl>
    <w:p w:rsidR="0019183F" w:rsidRDefault="0019183F"/>
    <w:p w:rsidR="0019183F" w:rsidRDefault="0019183F"/>
    <w:p w:rsidR="00F84C4F" w:rsidRDefault="00F84C4F"/>
    <w:p w:rsidR="00F84C4F" w:rsidRDefault="00F84C4F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405"/>
        <w:gridCol w:w="7201"/>
      </w:tblGrid>
      <w:tr w:rsidR="00FF7A51" w:rsidRPr="00FF7A51" w:rsidTr="004A08B3">
        <w:tc>
          <w:tcPr>
            <w:tcW w:w="2405" w:type="dxa"/>
          </w:tcPr>
          <w:p w:rsidR="004C2706" w:rsidRPr="00D10BE7" w:rsidRDefault="004C2706" w:rsidP="004C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Mission</w:t>
            </w:r>
            <w:r w:rsidR="004A08B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principale</w:t>
            </w:r>
            <w:r w:rsidR="004A08B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CB2D63" w:rsidRDefault="00C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8B3" w:rsidRDefault="004A0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8B3" w:rsidRDefault="004A0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8B3" w:rsidRDefault="004A0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BE7" w:rsidRPr="00CB2D63" w:rsidRDefault="00D1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1" w:type="dxa"/>
          </w:tcPr>
          <w:p w:rsidR="0019183F" w:rsidRPr="00205F83" w:rsidRDefault="0019183F" w:rsidP="00191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Conseil et force de proposition sur les aspects médicaux et juridiques</w:t>
            </w:r>
          </w:p>
          <w:p w:rsidR="0019183F" w:rsidRPr="00205F83" w:rsidRDefault="0019183F" w:rsidP="00191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Support aux médecins de travail</w:t>
            </w:r>
          </w:p>
          <w:p w:rsidR="0019183F" w:rsidRPr="00205F83" w:rsidRDefault="0019183F" w:rsidP="00191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 xml:space="preserve">Activité de veille </w:t>
            </w:r>
          </w:p>
          <w:p w:rsidR="0019183F" w:rsidRPr="00205F83" w:rsidRDefault="0019183F" w:rsidP="00191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Outils et projets informatiques touchant le domaine médical</w:t>
            </w:r>
          </w:p>
          <w:p w:rsidR="0019183F" w:rsidRPr="00205F83" w:rsidRDefault="0019183F" w:rsidP="00191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Activité médicale santé travail (visites, AMT, prévention, etc…)</w:t>
            </w:r>
          </w:p>
          <w:p w:rsidR="00FF7A51" w:rsidRPr="00205F83" w:rsidRDefault="0019183F" w:rsidP="004A08B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Formations</w:t>
            </w:r>
          </w:p>
        </w:tc>
      </w:tr>
      <w:tr w:rsidR="00F84C4F" w:rsidRPr="00FF7A51" w:rsidTr="004A08B3">
        <w:tc>
          <w:tcPr>
            <w:tcW w:w="2405" w:type="dxa"/>
          </w:tcPr>
          <w:p w:rsidR="00F84C4F" w:rsidRPr="00D10BE7" w:rsidRDefault="004A08B3" w:rsidP="004C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Activités du poste</w:t>
            </w:r>
          </w:p>
        </w:tc>
        <w:tc>
          <w:tcPr>
            <w:tcW w:w="7201" w:type="dxa"/>
          </w:tcPr>
          <w:p w:rsidR="004A08B3" w:rsidRPr="00205F83" w:rsidRDefault="004A08B3" w:rsidP="004A08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Conseil et force de proposition sur les aspects médicaux et juridiques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Auprès du Directeur Général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Au sein des instances de gouvernance</w:t>
            </w:r>
          </w:p>
          <w:p w:rsidR="004A08B3" w:rsidRPr="00205F83" w:rsidRDefault="004A08B3" w:rsidP="004A08B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4A08B3" w:rsidRPr="00205F83" w:rsidRDefault="004A08B3" w:rsidP="004A08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Support aux médecins de travail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Animation de la communauté médicale (sans lien hiérarchique)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Conseil et avis personnalisé aux médecins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Transfert des dossiers médicaux des médecins absents ou partis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Coordination du rapport annuel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Avis technique sur le plan de formation des médecins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Avis technique lors du recrutement de médecins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Préparation et suivi du parcours d’intégration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Participation au parcours de sortie</w:t>
            </w:r>
          </w:p>
          <w:p w:rsidR="004A08B3" w:rsidRPr="00205F83" w:rsidRDefault="004A08B3" w:rsidP="004A08B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4A08B3" w:rsidRPr="00205F83" w:rsidRDefault="004A08B3" w:rsidP="004A08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Activité de veille et d’anticipation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Veille juridique et institutionnelle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Veilles santé au travail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Veille documentaire</w:t>
            </w:r>
          </w:p>
          <w:p w:rsidR="004A08B3" w:rsidRPr="00205F83" w:rsidRDefault="004A08B3" w:rsidP="004A08B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4A08B3" w:rsidRPr="00205F83" w:rsidRDefault="004A08B3" w:rsidP="004A08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Outils et projets informatiques touchant le domaine médical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Projets informatiques en lien avec l’activité médicale</w:t>
            </w:r>
          </w:p>
          <w:p w:rsidR="004A08B3" w:rsidRPr="00205F83" w:rsidRDefault="004A08B3" w:rsidP="004A08B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4A08B3" w:rsidRPr="00205F83" w:rsidRDefault="004A08B3" w:rsidP="004A08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Activité médicale santé travail (visites, AMT, prévention, etc…)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Réalisation des visites médicales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AMT</w:t>
            </w:r>
          </w:p>
          <w:p w:rsidR="004A08B3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Conseils en Prévention</w:t>
            </w:r>
          </w:p>
          <w:p w:rsidR="004A08B3" w:rsidRPr="00205F83" w:rsidRDefault="004A08B3" w:rsidP="004A08B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4A08B3" w:rsidRPr="00205F83" w:rsidRDefault="004A08B3" w:rsidP="004A08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Formations</w:t>
            </w:r>
          </w:p>
          <w:p w:rsidR="00F84C4F" w:rsidRPr="00205F83" w:rsidRDefault="004A08B3" w:rsidP="004A08B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>Animation de formations internes : aux nouveaux embauchés, à l’ensemble du personnel suivant les sujets</w:t>
            </w:r>
          </w:p>
        </w:tc>
      </w:tr>
      <w:tr w:rsidR="00FF7A51" w:rsidRPr="00FF7A51" w:rsidTr="004A08B3">
        <w:tc>
          <w:tcPr>
            <w:tcW w:w="2405" w:type="dxa"/>
          </w:tcPr>
          <w:p w:rsidR="00CB2D63" w:rsidRDefault="00CB2D63" w:rsidP="00C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D63" w:rsidRPr="00D10BE7" w:rsidRDefault="00CB2D63" w:rsidP="00C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Contraintes </w:t>
            </w:r>
          </w:p>
          <w:p w:rsidR="00CB2D63" w:rsidRPr="00D10BE7" w:rsidRDefault="00CB2D63" w:rsidP="00C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et difficultés</w:t>
            </w:r>
          </w:p>
          <w:p w:rsidR="00FF7A51" w:rsidRPr="00D10BE7" w:rsidRDefault="00CB2D63" w:rsidP="00C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du poste</w:t>
            </w:r>
          </w:p>
        </w:tc>
        <w:tc>
          <w:tcPr>
            <w:tcW w:w="7201" w:type="dxa"/>
          </w:tcPr>
          <w:p w:rsidR="00FF7A51" w:rsidRPr="00205F83" w:rsidRDefault="00FF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Compétences requises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Capacités relationnelles (écoute, concertation, communication, confrontation, diplomatie, favoriser un climat de confiance, tolérance, disponibilité, déontologie…)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Capacités à convaincre sans lien hiérarchique dans un cadre interdisciplinaire et interprofessionnel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Maîtrise des techniques de transmission des connaissances et du savoir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Aptitude au travail de recherche pour la tenue à jour de ses connaissances : formation, documentation…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Capacité à proposer des solutions innovantes dans un cadre en constante évolution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</w:rPr>
            </w:pPr>
            <w:r w:rsidRPr="00205F83">
              <w:rPr>
                <w:rFonts w:ascii="Times New Roman" w:hAnsi="Times New Roman" w:cs="Times New Roman"/>
                <w:b/>
              </w:rPr>
              <w:lastRenderedPageBreak/>
              <w:t>Qualités requises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Loyauté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Intérêt prononcé pour la prévention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Pédagogie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Créativité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</w:rPr>
            </w:pPr>
            <w:r w:rsidRPr="00205F83">
              <w:rPr>
                <w:rFonts w:ascii="Times New Roman" w:hAnsi="Times New Roman" w:cs="Times New Roman"/>
                <w:b/>
              </w:rPr>
              <w:t>Outils informatiques</w:t>
            </w:r>
          </w:p>
          <w:p w:rsidR="00205F83" w:rsidRDefault="00205F83" w:rsidP="00205F83">
            <w:pPr>
              <w:rPr>
                <w:rFonts w:ascii="Times New Roman" w:hAnsi="Times New Roman" w:cs="Times New Roman"/>
              </w:rPr>
            </w:pPr>
            <w:r w:rsidRPr="00205F83">
              <w:rPr>
                <w:rFonts w:ascii="Times New Roman" w:hAnsi="Times New Roman" w:cs="Times New Roman"/>
              </w:rPr>
              <w:t>Outils bureautiques courants, outils métiers.</w:t>
            </w:r>
          </w:p>
          <w:p w:rsidR="003A6A33" w:rsidRDefault="003A6A33" w:rsidP="00205F83">
            <w:pPr>
              <w:rPr>
                <w:rFonts w:ascii="Times New Roman" w:hAnsi="Times New Roman" w:cs="Times New Roman"/>
              </w:rPr>
            </w:pPr>
          </w:p>
          <w:p w:rsidR="003A6A33" w:rsidRPr="003A6A33" w:rsidRDefault="003A6A33" w:rsidP="00205F83">
            <w:pPr>
              <w:rPr>
                <w:rFonts w:ascii="Times New Roman" w:hAnsi="Times New Roman" w:cs="Times New Roman"/>
                <w:b/>
              </w:rPr>
            </w:pPr>
            <w:r w:rsidRPr="003A6A33">
              <w:rPr>
                <w:rFonts w:ascii="Times New Roman" w:hAnsi="Times New Roman" w:cs="Times New Roman"/>
                <w:b/>
              </w:rPr>
              <w:t>Disponibilité et déplacement à prévoir :</w:t>
            </w:r>
          </w:p>
          <w:p w:rsidR="003A6A33" w:rsidRDefault="003A6A33" w:rsidP="00205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Déplacement en Ile de France ou en Région.</w:t>
            </w:r>
          </w:p>
          <w:p w:rsidR="003A6A33" w:rsidRPr="00205F83" w:rsidRDefault="003A6A33" w:rsidP="00205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Réunion de médecin relai au CISME à Paris.</w:t>
            </w:r>
          </w:p>
          <w:p w:rsidR="00FF7A51" w:rsidRPr="00205F83" w:rsidRDefault="00FF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63" w:rsidTr="004A08B3">
        <w:tc>
          <w:tcPr>
            <w:tcW w:w="2405" w:type="dxa"/>
          </w:tcPr>
          <w:p w:rsidR="00CB2D63" w:rsidRDefault="00CB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D63" w:rsidRDefault="00CB2D63">
            <w:r w:rsidRPr="00D10BE7">
              <w:rPr>
                <w:rFonts w:ascii="Times New Roman" w:hAnsi="Times New Roman" w:cs="Times New Roman"/>
                <w:b/>
                <w:sz w:val="24"/>
                <w:szCs w:val="24"/>
              </w:rPr>
              <w:t>Profil du poste</w:t>
            </w:r>
          </w:p>
          <w:p w:rsidR="00CB2D63" w:rsidRDefault="00CB2D63"/>
          <w:p w:rsidR="00CB2D63" w:rsidRDefault="00CB2D63"/>
        </w:tc>
        <w:tc>
          <w:tcPr>
            <w:tcW w:w="7201" w:type="dxa"/>
          </w:tcPr>
          <w:p w:rsidR="00CB2D63" w:rsidRPr="00205F83" w:rsidRDefault="00CB2D63">
            <w:pPr>
              <w:rPr>
                <w:rFonts w:ascii="Times New Roman" w:hAnsi="Times New Roman" w:cs="Times New Roman"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05F8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Profil du titulaire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Diplômes et formations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 xml:space="preserve">Médecin du travail avec des connaissances approfondies dans la législation applicable en santé travail. 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Expérience professionnelle</w:t>
            </w: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Cs/>
                <w:iCs/>
              </w:rPr>
              <w:t xml:space="preserve">Au moins 10 ans d’exercice de la médecine du travail et la prévention. Une expérience en conduite du changement dans le cadre de gestion de projets complexes est indispensable. </w:t>
            </w:r>
            <w:r>
              <w:rPr>
                <w:rFonts w:ascii="Times New Roman" w:hAnsi="Times New Roman" w:cs="Times New Roman"/>
                <w:bCs/>
                <w:iCs/>
              </w:rPr>
              <w:t>Une bonne connaissance de l’ASTE</w:t>
            </w:r>
            <w:r w:rsidRPr="00205F83">
              <w:rPr>
                <w:rFonts w:ascii="Times New Roman" w:hAnsi="Times New Roman" w:cs="Times New Roman"/>
                <w:bCs/>
                <w:iCs/>
              </w:rPr>
              <w:t>, de ses métiers et de son activité.</w:t>
            </w:r>
          </w:p>
          <w:p w:rsid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05F83">
              <w:rPr>
                <w:rFonts w:ascii="Times New Roman" w:hAnsi="Times New Roman" w:cs="Times New Roman"/>
                <w:b/>
                <w:bCs/>
                <w:iCs/>
              </w:rPr>
              <w:t>Temps de décharge </w:t>
            </w:r>
          </w:p>
          <w:p w:rsid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Un temps moyenné de décharge 30 % de la fonction médecin du travail afin d’exécuter les missions de coordination.</w:t>
            </w:r>
          </w:p>
          <w:p w:rsidR="00205F83" w:rsidRDefault="003A6A33" w:rsidP="00205F8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Prime de mission mensuelle liée à la fonction de médecin du travail coordinateur.</w:t>
            </w:r>
          </w:p>
          <w:p w:rsid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05F83" w:rsidRPr="00205F83" w:rsidRDefault="00205F83" w:rsidP="00205F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CB2D63" w:rsidRPr="00205F83" w:rsidRDefault="00CB2D63">
            <w:pPr>
              <w:rPr>
                <w:rFonts w:ascii="Times New Roman" w:hAnsi="Times New Roman" w:cs="Times New Roman"/>
              </w:rPr>
            </w:pPr>
          </w:p>
        </w:tc>
      </w:tr>
    </w:tbl>
    <w:p w:rsidR="00CB2D63" w:rsidRDefault="00CB2D63"/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FF7A51" w:rsidRPr="00826F83" w:rsidTr="00FF7A51">
        <w:tc>
          <w:tcPr>
            <w:tcW w:w="4606" w:type="dxa"/>
          </w:tcPr>
          <w:p w:rsidR="00FF7A51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3">
              <w:rPr>
                <w:rFonts w:ascii="Times New Roman" w:hAnsi="Times New Roman" w:cs="Times New Roman"/>
                <w:sz w:val="24"/>
                <w:szCs w:val="24"/>
              </w:rPr>
              <w:t>Date :</w:t>
            </w: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3">
              <w:rPr>
                <w:rFonts w:ascii="Times New Roman" w:hAnsi="Times New Roman" w:cs="Times New Roman"/>
                <w:sz w:val="24"/>
                <w:szCs w:val="24"/>
              </w:rPr>
              <w:t>Signature du salarié :</w:t>
            </w:r>
          </w:p>
          <w:p w:rsidR="00FF7A51" w:rsidRPr="00826F83" w:rsidRDefault="00FF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51" w:rsidRPr="00826F83" w:rsidRDefault="00FF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FF7A51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3">
              <w:rPr>
                <w:rFonts w:ascii="Times New Roman" w:hAnsi="Times New Roman" w:cs="Times New Roman"/>
                <w:sz w:val="24"/>
                <w:szCs w:val="24"/>
              </w:rPr>
              <w:t>Date :</w:t>
            </w: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3">
              <w:rPr>
                <w:rFonts w:ascii="Times New Roman" w:hAnsi="Times New Roman" w:cs="Times New Roman"/>
                <w:sz w:val="24"/>
                <w:szCs w:val="24"/>
              </w:rPr>
              <w:t>Signature du supérieur hiérarchique :</w:t>
            </w: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83" w:rsidRPr="00826F83" w:rsidRDefault="0082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A51" w:rsidRDefault="00FF7A51"/>
    <w:p w:rsidR="00F80616" w:rsidRDefault="00F80616"/>
    <w:sectPr w:rsidR="00F80616" w:rsidSect="00A820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E5" w:rsidRDefault="006E1DE5" w:rsidP="006E1DE5">
      <w:pPr>
        <w:spacing w:after="0" w:line="240" w:lineRule="auto"/>
      </w:pPr>
      <w:r>
        <w:separator/>
      </w:r>
    </w:p>
  </w:endnote>
  <w:endnote w:type="continuationSeparator" w:id="0">
    <w:p w:rsidR="006E1DE5" w:rsidRDefault="006E1DE5" w:rsidP="006E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E5" w:rsidRDefault="006E1DE5">
    <w:pPr>
      <w:pStyle w:val="Pieddepage"/>
      <w:jc w:val="right"/>
    </w:pPr>
    <w:r>
      <w:t xml:space="preserve">Page </w:t>
    </w:r>
    <w:sdt>
      <w:sdtPr>
        <w:id w:val="-21018633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F3D79">
          <w:rPr>
            <w:noProof/>
          </w:rPr>
          <w:t>3</w:t>
        </w:r>
        <w:r>
          <w:fldChar w:fldCharType="end"/>
        </w:r>
      </w:sdtContent>
    </w:sdt>
  </w:p>
  <w:p w:rsidR="006E1DE5" w:rsidRDefault="006E1D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E5" w:rsidRDefault="006E1DE5" w:rsidP="006E1DE5">
      <w:pPr>
        <w:spacing w:after="0" w:line="240" w:lineRule="auto"/>
      </w:pPr>
      <w:r>
        <w:separator/>
      </w:r>
    </w:p>
  </w:footnote>
  <w:footnote w:type="continuationSeparator" w:id="0">
    <w:p w:rsidR="006E1DE5" w:rsidRDefault="006E1DE5" w:rsidP="006E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65C5"/>
    <w:multiLevelType w:val="hybridMultilevel"/>
    <w:tmpl w:val="E202F9DC"/>
    <w:lvl w:ilvl="0" w:tplc="0400F70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69728EA"/>
    <w:multiLevelType w:val="hybridMultilevel"/>
    <w:tmpl w:val="05527ABE"/>
    <w:lvl w:ilvl="0" w:tplc="CC74F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26B7"/>
    <w:multiLevelType w:val="hybridMultilevel"/>
    <w:tmpl w:val="B86A42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E6856"/>
    <w:multiLevelType w:val="hybridMultilevel"/>
    <w:tmpl w:val="B86A42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16"/>
    <w:rsid w:val="0019183F"/>
    <w:rsid w:val="00195E84"/>
    <w:rsid w:val="001D2B21"/>
    <w:rsid w:val="001E35C7"/>
    <w:rsid w:val="00205F83"/>
    <w:rsid w:val="003A6A33"/>
    <w:rsid w:val="004A08B3"/>
    <w:rsid w:val="004C2706"/>
    <w:rsid w:val="004F2D41"/>
    <w:rsid w:val="006556DF"/>
    <w:rsid w:val="006702C0"/>
    <w:rsid w:val="006E1DE5"/>
    <w:rsid w:val="007A2123"/>
    <w:rsid w:val="00826F83"/>
    <w:rsid w:val="00837FE0"/>
    <w:rsid w:val="00865FDF"/>
    <w:rsid w:val="009F3D79"/>
    <w:rsid w:val="00A56A81"/>
    <w:rsid w:val="00A820BB"/>
    <w:rsid w:val="00C6000E"/>
    <w:rsid w:val="00CB2D63"/>
    <w:rsid w:val="00D10BE7"/>
    <w:rsid w:val="00EA2C74"/>
    <w:rsid w:val="00ED3784"/>
    <w:rsid w:val="00F00E24"/>
    <w:rsid w:val="00F65449"/>
    <w:rsid w:val="00F80616"/>
    <w:rsid w:val="00F84C4F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C650388"/>
  <w15:docId w15:val="{D03F45F9-8791-4526-A18E-456829B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6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5F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DE5"/>
  </w:style>
  <w:style w:type="paragraph" w:styleId="Pieddepage">
    <w:name w:val="footer"/>
    <w:basedOn w:val="Normal"/>
    <w:link w:val="PieddepageCar"/>
    <w:uiPriority w:val="99"/>
    <w:unhideWhenUsed/>
    <w:rsid w:val="006E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VAN HAUWAERT</dc:creator>
  <cp:keywords/>
  <dc:description/>
  <cp:lastModifiedBy>Olivier VAN HAUWAERT</cp:lastModifiedBy>
  <cp:revision>11</cp:revision>
  <dcterms:created xsi:type="dcterms:W3CDTF">2016-06-29T13:39:00Z</dcterms:created>
  <dcterms:modified xsi:type="dcterms:W3CDTF">2019-06-28T11:31:00Z</dcterms:modified>
</cp:coreProperties>
</file>