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F385" w14:textId="77777777" w:rsidR="00D62402" w:rsidRPr="00F0047E" w:rsidRDefault="0030208A">
      <w:pPr>
        <w:rPr>
          <w:b/>
          <w:color w:val="F2F2F2" w:themeColor="background1" w:themeShade="F2"/>
          <w:sz w:val="28"/>
          <w:szCs w:val="28"/>
          <w:highlight w:val="darkBlue"/>
        </w:rPr>
      </w:pPr>
      <w:bookmarkStart w:id="0" w:name="_GoBack"/>
      <w:bookmarkEnd w:id="0"/>
      <w:r w:rsidRPr="00F0047E">
        <w:rPr>
          <w:b/>
          <w:color w:val="F2F2F2" w:themeColor="background1" w:themeShade="F2"/>
          <w:sz w:val="28"/>
          <w:szCs w:val="28"/>
          <w:highlight w:val="darkBlue"/>
        </w:rPr>
        <w:t>Contexte</w:t>
      </w:r>
    </w:p>
    <w:p w14:paraId="2C88F4EF" w14:textId="77777777" w:rsidR="00D62402" w:rsidRDefault="00D62402">
      <w:pPr>
        <w:rPr>
          <w:sz w:val="16"/>
          <w:szCs w:val="16"/>
        </w:rPr>
      </w:pPr>
    </w:p>
    <w:p w14:paraId="1D293078" w14:textId="77777777" w:rsidR="00DF4DFB" w:rsidRPr="00A727AD" w:rsidRDefault="009411F0" w:rsidP="00312516">
      <w:pPr>
        <w:pStyle w:val="Paragraphedeliste"/>
        <w:ind w:left="0"/>
        <w:jc w:val="both"/>
        <w:rPr>
          <w:rFonts w:cs="Arial"/>
          <w:bCs/>
          <w:i/>
        </w:rPr>
      </w:pPr>
      <w:r w:rsidRPr="00A727AD">
        <w:rPr>
          <w:rFonts w:cs="Arial"/>
          <w:bCs/>
          <w:i/>
        </w:rPr>
        <w:t>La</w:t>
      </w:r>
      <w:r w:rsidR="00DF4DFB" w:rsidRPr="00A727AD">
        <w:rPr>
          <w:rFonts w:cs="Arial"/>
          <w:bCs/>
          <w:i/>
        </w:rPr>
        <w:t xml:space="preserve"> réforme du système actuel de santé au travail </w:t>
      </w:r>
      <w:r w:rsidRPr="00A727AD">
        <w:rPr>
          <w:rFonts w:cs="Arial"/>
          <w:bCs/>
          <w:i/>
        </w:rPr>
        <w:t xml:space="preserve">annoncée par les </w:t>
      </w:r>
      <w:r w:rsidR="00DF4DFB" w:rsidRPr="00A727AD">
        <w:rPr>
          <w:rFonts w:cs="Arial"/>
          <w:bCs/>
          <w:i/>
        </w:rPr>
        <w:t>pouvoirs publics</w:t>
      </w:r>
      <w:r w:rsidR="00312516" w:rsidRPr="00A727AD">
        <w:rPr>
          <w:rFonts w:cs="Arial"/>
          <w:bCs/>
          <w:i/>
        </w:rPr>
        <w:t xml:space="preserve"> </w:t>
      </w:r>
      <w:r w:rsidRPr="00A727AD">
        <w:rPr>
          <w:rFonts w:cs="Arial"/>
          <w:bCs/>
          <w:i/>
        </w:rPr>
        <w:t>constitue un enjeu majeur pour les SSTI</w:t>
      </w:r>
      <w:r w:rsidR="00312516" w:rsidRPr="00A727AD">
        <w:rPr>
          <w:rFonts w:cs="Arial"/>
          <w:bCs/>
          <w:i/>
        </w:rPr>
        <w:t xml:space="preserve">. </w:t>
      </w:r>
    </w:p>
    <w:p w14:paraId="5035358C" w14:textId="77777777" w:rsidR="00312516" w:rsidRDefault="00312516" w:rsidP="00312516">
      <w:pPr>
        <w:pStyle w:val="Paragraphedeliste"/>
        <w:ind w:left="0"/>
        <w:jc w:val="both"/>
        <w:rPr>
          <w:rFonts w:cs="Arial"/>
          <w:bCs/>
          <w:i/>
        </w:rPr>
      </w:pPr>
      <w:r w:rsidRPr="00A727AD">
        <w:rPr>
          <w:rFonts w:cs="Arial"/>
          <w:bCs/>
          <w:i/>
        </w:rPr>
        <w:t xml:space="preserve">Ils ont décidé de se positionner de façon proactive dans l’évolution en cours, en abordant les sujets </w:t>
      </w:r>
      <w:r w:rsidR="009411F0" w:rsidRPr="00A727AD">
        <w:rPr>
          <w:rFonts w:cs="Arial"/>
          <w:bCs/>
          <w:i/>
        </w:rPr>
        <w:t xml:space="preserve">qui concernent leur activité </w:t>
      </w:r>
      <w:r w:rsidRPr="00A727AD">
        <w:rPr>
          <w:rFonts w:cs="Arial"/>
          <w:bCs/>
          <w:i/>
        </w:rPr>
        <w:t>de façon méthodique et dans un ordre logique, en s’appuyant sur leur diversité,</w:t>
      </w:r>
      <w:r w:rsidRPr="00501294">
        <w:rPr>
          <w:rFonts w:cs="Arial"/>
          <w:bCs/>
          <w:i/>
        </w:rPr>
        <w:t xml:space="preserve"> leur expérience et leur savoir-faire. </w:t>
      </w:r>
    </w:p>
    <w:p w14:paraId="2454206A" w14:textId="77777777" w:rsidR="00312516" w:rsidRPr="00501294" w:rsidRDefault="00312516" w:rsidP="00312516">
      <w:pPr>
        <w:pStyle w:val="Paragraphedeliste"/>
        <w:ind w:left="0"/>
        <w:jc w:val="both"/>
        <w:rPr>
          <w:rFonts w:cs="Arial"/>
          <w:bCs/>
          <w:i/>
        </w:rPr>
      </w:pPr>
    </w:p>
    <w:p w14:paraId="03F4AAD0" w14:textId="37CE71E7" w:rsidR="0084590D" w:rsidRDefault="0059055D" w:rsidP="0084590D">
      <w:pPr>
        <w:jc w:val="both"/>
      </w:pPr>
      <w:r>
        <w:t>C’est dans ce contexte</w:t>
      </w:r>
      <w:r w:rsidR="0084590D">
        <w:t xml:space="preserve"> que</w:t>
      </w:r>
      <w:r>
        <w:t xml:space="preserve"> </w:t>
      </w:r>
      <w:r w:rsidR="008D1620">
        <w:t xml:space="preserve">les </w:t>
      </w:r>
      <w:r w:rsidR="00CE5B68">
        <w:t>commissions de travail</w:t>
      </w:r>
      <w:r w:rsidR="008D1620">
        <w:t xml:space="preserve"> de Présanse</w:t>
      </w:r>
      <w:r w:rsidR="00CE5B68">
        <w:t xml:space="preserve"> accompagnent les SSTI </w:t>
      </w:r>
      <w:r w:rsidR="0084590D">
        <w:t>et contribuent</w:t>
      </w:r>
      <w:r w:rsidR="00CF0F4F">
        <w:t xml:space="preserve"> notamment</w:t>
      </w:r>
      <w:r w:rsidR="0084590D">
        <w:t xml:space="preserve"> à :</w:t>
      </w:r>
    </w:p>
    <w:p w14:paraId="5C49B14C" w14:textId="64567194" w:rsidR="0084590D" w:rsidRDefault="0084590D" w:rsidP="0084590D">
      <w:pPr>
        <w:pStyle w:val="Paragraphedeliste"/>
        <w:numPr>
          <w:ilvl w:val="0"/>
          <w:numId w:val="16"/>
        </w:numPr>
        <w:jc w:val="both"/>
      </w:pPr>
      <w:r>
        <w:t>la mise en œuvre d’une offre de services pour toutes les entreprises issue d</w:t>
      </w:r>
      <w:r w:rsidR="00CF0F4F">
        <w:t>’</w:t>
      </w:r>
      <w:r>
        <w:t>u</w:t>
      </w:r>
      <w:r w:rsidR="00CF0F4F">
        <w:t>n</w:t>
      </w:r>
      <w:r>
        <w:t xml:space="preserve"> cahier des charges partagé.</w:t>
      </w:r>
    </w:p>
    <w:p w14:paraId="1223923E" w14:textId="135E98C9" w:rsidR="0084590D" w:rsidRDefault="0084590D" w:rsidP="0084590D">
      <w:pPr>
        <w:pStyle w:val="Paragraphedeliste"/>
        <w:numPr>
          <w:ilvl w:val="0"/>
          <w:numId w:val="16"/>
        </w:numPr>
        <w:jc w:val="both"/>
      </w:pPr>
      <w:r>
        <w:t xml:space="preserve">la mise en œuvre du processus de fusions en cours dans de nombreux SSTI </w:t>
      </w:r>
    </w:p>
    <w:p w14:paraId="79AE21FF" w14:textId="3C23F6BA" w:rsidR="0084590D" w:rsidRDefault="0084590D" w:rsidP="0084590D">
      <w:pPr>
        <w:pStyle w:val="Paragraphedeliste"/>
        <w:numPr>
          <w:ilvl w:val="0"/>
          <w:numId w:val="16"/>
        </w:numPr>
        <w:jc w:val="both"/>
      </w:pPr>
      <w:r>
        <w:t xml:space="preserve">la généralisation d‘une certification </w:t>
      </w:r>
      <w:r w:rsidR="00CF0F4F">
        <w:t xml:space="preserve">de tierce partie </w:t>
      </w:r>
      <w:r>
        <w:t>des SSTI permettant l’évaluation de résultats et de la maîtrise de l’organisation</w:t>
      </w:r>
      <w:r w:rsidR="00CF0F4F">
        <w:t>,</w:t>
      </w:r>
      <w:r>
        <w:t xml:space="preserve"> avec une orientation « clients » au sens de la qualité.</w:t>
      </w:r>
    </w:p>
    <w:p w14:paraId="4A6C5335" w14:textId="088BA111" w:rsidR="00760C81" w:rsidRDefault="00760C81" w:rsidP="00CE5B68">
      <w:pPr>
        <w:jc w:val="both"/>
      </w:pPr>
    </w:p>
    <w:p w14:paraId="316823DB" w14:textId="77777777" w:rsidR="008D1620" w:rsidRDefault="008D1620" w:rsidP="00CE5B68">
      <w:pPr>
        <w:jc w:val="both"/>
      </w:pPr>
    </w:p>
    <w:p w14:paraId="38C0E3C8" w14:textId="69DD840A" w:rsidR="00501294" w:rsidRDefault="00CF0F4F" w:rsidP="00CE5B68">
      <w:pPr>
        <w:jc w:val="both"/>
        <w:rPr>
          <w:sz w:val="16"/>
          <w:szCs w:val="16"/>
        </w:rPr>
      </w:pPr>
      <w:r>
        <w:t>Ces sujets</w:t>
      </w:r>
      <w:r w:rsidR="00CE5B68">
        <w:t xml:space="preserve"> nécessite</w:t>
      </w:r>
      <w:r>
        <w:t>nt</w:t>
      </w:r>
      <w:r w:rsidR="00CE5B68">
        <w:t xml:space="preserve"> d’accompagner l’évolution des pratiques professionnelles </w:t>
      </w:r>
      <w:r w:rsidR="00A854F3">
        <w:t>et les</w:t>
      </w:r>
      <w:r w:rsidR="00CE5B68">
        <w:t xml:space="preserve"> organisation</w:t>
      </w:r>
      <w:r w:rsidR="00A854F3">
        <w:t>s</w:t>
      </w:r>
      <w:r w:rsidR="00CE5B68">
        <w:t xml:space="preserve">. </w:t>
      </w:r>
      <w:r w:rsidR="00A854F3">
        <w:t>L</w:t>
      </w:r>
      <w:r w:rsidR="0084590D">
        <w:t xml:space="preserve">’utilisation de leviers </w:t>
      </w:r>
      <w:r w:rsidR="00CE5B68">
        <w:t>tels que la GPEC, la formation professionnelle</w:t>
      </w:r>
      <w:r w:rsidR="00A854F3">
        <w:t xml:space="preserve"> ou encore</w:t>
      </w:r>
      <w:r w:rsidR="00CE5B68">
        <w:t xml:space="preserve"> les méthodologies de conduite</w:t>
      </w:r>
      <w:r w:rsidR="00234545">
        <w:t xml:space="preserve"> du changement sont</w:t>
      </w:r>
      <w:r w:rsidR="00A854F3">
        <w:t xml:space="preserve"> incontournable</w:t>
      </w:r>
      <w:r w:rsidR="00234545">
        <w:t>s</w:t>
      </w:r>
      <w:r w:rsidR="00CE5B68">
        <w:t>.</w:t>
      </w:r>
    </w:p>
    <w:p w14:paraId="5AEF4D17" w14:textId="77777777" w:rsidR="0074107D" w:rsidRDefault="0074107D" w:rsidP="00501294">
      <w:pPr>
        <w:rPr>
          <w:rFonts w:cs="Arial"/>
        </w:rPr>
      </w:pPr>
    </w:p>
    <w:p w14:paraId="296D589A" w14:textId="77777777" w:rsidR="00B063BB" w:rsidRDefault="00B063BB" w:rsidP="00037525">
      <w:pPr>
        <w:rPr>
          <w:b/>
          <w:color w:val="F2F2F2" w:themeColor="background1" w:themeShade="F2"/>
          <w:sz w:val="28"/>
          <w:szCs w:val="28"/>
          <w:highlight w:val="darkBlue"/>
        </w:rPr>
      </w:pPr>
      <w:r w:rsidRPr="00F0047E">
        <w:rPr>
          <w:b/>
          <w:color w:val="F2F2F2" w:themeColor="background1" w:themeShade="F2"/>
          <w:sz w:val="28"/>
          <w:szCs w:val="28"/>
          <w:highlight w:val="darkBlue"/>
        </w:rPr>
        <w:t>Mission</w:t>
      </w:r>
      <w:r w:rsidR="00C80D65">
        <w:rPr>
          <w:b/>
          <w:color w:val="F2F2F2" w:themeColor="background1" w:themeShade="F2"/>
          <w:sz w:val="28"/>
          <w:szCs w:val="28"/>
          <w:highlight w:val="darkBlue"/>
        </w:rPr>
        <w:t>s de la Commission</w:t>
      </w:r>
    </w:p>
    <w:p w14:paraId="62ECDF57" w14:textId="77777777" w:rsidR="0074107D" w:rsidRDefault="0074107D" w:rsidP="00037525">
      <w:pPr>
        <w:rPr>
          <w:b/>
          <w:color w:val="F2F2F2" w:themeColor="background1" w:themeShade="F2"/>
          <w:sz w:val="28"/>
          <w:szCs w:val="28"/>
          <w:highlight w:val="darkBlue"/>
        </w:rPr>
      </w:pPr>
    </w:p>
    <w:p w14:paraId="3440ECD0" w14:textId="77777777" w:rsidR="0074107D" w:rsidRDefault="0074107D" w:rsidP="0074107D">
      <w:pPr>
        <w:jc w:val="both"/>
        <w:rPr>
          <w:rFonts w:ascii="Calibri" w:hAnsi="Calibri" w:cs="Arial"/>
        </w:rPr>
      </w:pPr>
      <w:r w:rsidRPr="00C158C8">
        <w:rPr>
          <w:rFonts w:ascii="Calibri" w:hAnsi="Calibri" w:cs="Arial"/>
        </w:rPr>
        <w:t>Le</w:t>
      </w:r>
      <w:r w:rsidR="00CE5B68">
        <w:rPr>
          <w:rFonts w:ascii="Calibri" w:hAnsi="Calibri" w:cs="Arial"/>
        </w:rPr>
        <w:t>s missions générales de la Commission RH sont les suivantes :</w:t>
      </w:r>
    </w:p>
    <w:p w14:paraId="39C9CA18" w14:textId="77777777" w:rsidR="00CE5B68" w:rsidRPr="00C158C8" w:rsidRDefault="00CE5B68" w:rsidP="0074107D">
      <w:pPr>
        <w:jc w:val="both"/>
        <w:rPr>
          <w:rFonts w:ascii="Calibri" w:hAnsi="Calibri" w:cs="Arial"/>
        </w:rPr>
      </w:pPr>
    </w:p>
    <w:p w14:paraId="0D5ACF17" w14:textId="77777777" w:rsidR="0074107D" w:rsidRPr="00C158C8" w:rsidRDefault="0074107D" w:rsidP="0074107D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C158C8">
        <w:rPr>
          <w:rFonts w:ascii="Calibri" w:hAnsi="Calibri" w:cs="Arial"/>
        </w:rPr>
        <w:t>Faciliter les réflexions et les échanges RH entre les SSTI</w:t>
      </w:r>
    </w:p>
    <w:p w14:paraId="6FC76D0F" w14:textId="77777777" w:rsidR="00B063BB" w:rsidRDefault="0074107D" w:rsidP="00A85E4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C158C8">
        <w:rPr>
          <w:rFonts w:ascii="Calibri" w:hAnsi="Calibri" w:cs="Arial"/>
        </w:rPr>
        <w:t>Mettre à disposition des personnes occupant les fonctions RH des informations, des guides et des outils facilitant la mise en œuvre d’une politique des ressources humaines dans</w:t>
      </w:r>
      <w:r w:rsidR="00CE5B68">
        <w:rPr>
          <w:rFonts w:ascii="Calibri" w:hAnsi="Calibri" w:cs="Arial"/>
        </w:rPr>
        <w:t xml:space="preserve"> le contexte évolutif des SSTI.</w:t>
      </w:r>
    </w:p>
    <w:p w14:paraId="50AFD222" w14:textId="77777777" w:rsidR="00CE5B68" w:rsidRDefault="00CE5B68" w:rsidP="00CE5B68">
      <w:pPr>
        <w:ind w:left="720"/>
        <w:jc w:val="both"/>
        <w:rPr>
          <w:rFonts w:ascii="Calibri" w:hAnsi="Calibri" w:cs="Arial"/>
        </w:rPr>
      </w:pPr>
    </w:p>
    <w:p w14:paraId="041D3B98" w14:textId="77777777" w:rsidR="00644D6C" w:rsidRPr="0074107D" w:rsidRDefault="00CE5B68" w:rsidP="0074107D">
      <w:pPr>
        <w:jc w:val="both"/>
      </w:pPr>
      <w:r>
        <w:rPr>
          <w:rFonts w:ascii="Calibri" w:hAnsi="Calibri" w:cs="Arial"/>
        </w:rPr>
        <w:t>Elle</w:t>
      </w:r>
      <w:r w:rsidR="00C80D65" w:rsidRPr="0074107D">
        <w:t xml:space="preserve"> </w:t>
      </w:r>
      <w:r w:rsidR="0074107D" w:rsidRPr="0074107D">
        <w:t xml:space="preserve">s’attachera </w:t>
      </w:r>
      <w:r>
        <w:t xml:space="preserve">à </w:t>
      </w:r>
      <w:r w:rsidR="0074107D" w:rsidRPr="0074107D">
        <w:rPr>
          <w:b/>
          <w:bCs/>
        </w:rPr>
        <w:t xml:space="preserve">accompagner </w:t>
      </w:r>
      <w:r w:rsidR="00644D6C" w:rsidRPr="0074107D">
        <w:rPr>
          <w:b/>
          <w:bCs/>
        </w:rPr>
        <w:t xml:space="preserve">la transformation des SSTI dans le domaine </w:t>
      </w:r>
      <w:r w:rsidR="0074107D" w:rsidRPr="0074107D">
        <w:rPr>
          <w:b/>
          <w:bCs/>
        </w:rPr>
        <w:t xml:space="preserve">des </w:t>
      </w:r>
      <w:r w:rsidR="00644D6C" w:rsidRPr="0074107D">
        <w:rPr>
          <w:b/>
          <w:bCs/>
        </w:rPr>
        <w:t>R</w:t>
      </w:r>
      <w:r w:rsidR="0074107D" w:rsidRPr="0074107D">
        <w:rPr>
          <w:b/>
          <w:bCs/>
        </w:rPr>
        <w:t xml:space="preserve">essources </w:t>
      </w:r>
      <w:r w:rsidR="00644D6C" w:rsidRPr="0074107D">
        <w:rPr>
          <w:b/>
          <w:bCs/>
        </w:rPr>
        <w:t>H</w:t>
      </w:r>
      <w:r w:rsidR="0074107D" w:rsidRPr="0074107D">
        <w:rPr>
          <w:b/>
          <w:bCs/>
        </w:rPr>
        <w:t>umaines</w:t>
      </w:r>
      <w:r w:rsidR="00644D6C" w:rsidRPr="0074107D">
        <w:rPr>
          <w:b/>
          <w:bCs/>
        </w:rPr>
        <w:t xml:space="preserve"> </w:t>
      </w:r>
      <w:r w:rsidR="00A854F3">
        <w:t xml:space="preserve">sur les </w:t>
      </w:r>
      <w:r w:rsidR="00E03EC4">
        <w:t>3</w:t>
      </w:r>
      <w:r w:rsidR="00644D6C" w:rsidRPr="0074107D">
        <w:t xml:space="preserve"> axes suivants : </w:t>
      </w:r>
    </w:p>
    <w:p w14:paraId="7083F681" w14:textId="77777777" w:rsidR="00644D6C" w:rsidRPr="0074107D" w:rsidRDefault="00644D6C" w:rsidP="00644D6C"/>
    <w:p w14:paraId="399444BB" w14:textId="6B114391" w:rsidR="00E85968" w:rsidRPr="00E03EC4" w:rsidRDefault="00E85968" w:rsidP="00E85968">
      <w:pPr>
        <w:pStyle w:val="Paragraphedeliste"/>
        <w:numPr>
          <w:ilvl w:val="0"/>
          <w:numId w:val="14"/>
        </w:numPr>
        <w:contextualSpacing w:val="0"/>
        <w:rPr>
          <w:color w:val="1F497D"/>
        </w:rPr>
      </w:pPr>
      <w:r w:rsidRPr="00CE5B68">
        <w:t>Anticipation des impacts RH de la mise en œuvre du cahier des charges</w:t>
      </w:r>
      <w:r>
        <w:t xml:space="preserve"> partagé</w:t>
      </w:r>
      <w:r w:rsidRPr="00CE5B68">
        <w:t xml:space="preserve"> de l’offre des SSTI : élaboration de bonnes pratiques notamment s’agissant de la conduite du changement</w:t>
      </w:r>
      <w:r>
        <w:t xml:space="preserve"> et de l’évaluation des compétences dans une logique de certification des SSTI et de « satisfaction client »</w:t>
      </w:r>
    </w:p>
    <w:p w14:paraId="1194AD39" w14:textId="3A63F928" w:rsidR="00644D6C" w:rsidRPr="0074107D" w:rsidRDefault="00E85968" w:rsidP="00644D6C">
      <w:pPr>
        <w:pStyle w:val="Paragraphedeliste"/>
        <w:numPr>
          <w:ilvl w:val="0"/>
          <w:numId w:val="14"/>
        </w:numPr>
        <w:contextualSpacing w:val="0"/>
      </w:pPr>
      <w:r>
        <w:t>Contribution</w:t>
      </w:r>
      <w:r w:rsidRPr="0074107D">
        <w:t xml:space="preserve"> </w:t>
      </w:r>
      <w:r w:rsidR="0074107D" w:rsidRPr="0074107D">
        <w:t>à une</w:t>
      </w:r>
      <w:r w:rsidR="00644D6C" w:rsidRPr="0074107D">
        <w:t xml:space="preserve"> réflexion stratégique </w:t>
      </w:r>
      <w:r w:rsidR="0074107D" w:rsidRPr="0074107D">
        <w:t xml:space="preserve">de GPEC </w:t>
      </w:r>
      <w:r w:rsidR="00644D6C" w:rsidRPr="0074107D">
        <w:t>et</w:t>
      </w:r>
      <w:r w:rsidR="0074107D" w:rsidRPr="0074107D">
        <w:t xml:space="preserve"> à la définition de la</w:t>
      </w:r>
      <w:r w:rsidR="00644D6C" w:rsidRPr="0074107D">
        <w:t xml:space="preserve"> politique emploi formation </w:t>
      </w:r>
      <w:r w:rsidR="0074107D" w:rsidRPr="0074107D">
        <w:t>de la branche </w:t>
      </w:r>
      <w:r w:rsidR="00644D6C" w:rsidRPr="0074107D">
        <w:t>en lien</w:t>
      </w:r>
      <w:r w:rsidR="0074107D" w:rsidRPr="0074107D">
        <w:t xml:space="preserve"> avec les travaux de la délégation patronale ;</w:t>
      </w:r>
    </w:p>
    <w:p w14:paraId="0FC62F03" w14:textId="285A565D" w:rsidR="00644D6C" w:rsidRPr="00CE5B68" w:rsidRDefault="0074107D" w:rsidP="00644D6C">
      <w:pPr>
        <w:pStyle w:val="Paragraphedeliste"/>
        <w:numPr>
          <w:ilvl w:val="0"/>
          <w:numId w:val="14"/>
        </w:numPr>
        <w:contextualSpacing w:val="0"/>
      </w:pPr>
      <w:r w:rsidRPr="0074107D">
        <w:t>P</w:t>
      </w:r>
      <w:r w:rsidR="00644D6C" w:rsidRPr="0074107D">
        <w:t xml:space="preserve">articipation à la définition / élaboration </w:t>
      </w:r>
      <w:r w:rsidR="00644D6C" w:rsidRPr="00CE5B68">
        <w:t xml:space="preserve">d’outils et de </w:t>
      </w:r>
      <w:r w:rsidRPr="00CE5B68">
        <w:t>b</w:t>
      </w:r>
      <w:r w:rsidR="00644D6C" w:rsidRPr="00CE5B68">
        <w:t>onne</w:t>
      </w:r>
      <w:r w:rsidRPr="00CE5B68">
        <w:t>s pratiques en matière sociale/</w:t>
      </w:r>
      <w:r w:rsidR="00644D6C" w:rsidRPr="00CE5B68">
        <w:t>RH, dans le cadre des fusions de services</w:t>
      </w:r>
    </w:p>
    <w:p w14:paraId="2A02FD02" w14:textId="77777777" w:rsidR="00644D6C" w:rsidRDefault="00644D6C" w:rsidP="00644D6C">
      <w:pPr>
        <w:pStyle w:val="Paragraphedeliste"/>
        <w:rPr>
          <w:color w:val="1F497D"/>
        </w:rPr>
      </w:pPr>
    </w:p>
    <w:p w14:paraId="5D1413F2" w14:textId="3BDE4881" w:rsidR="00F06DF4" w:rsidRDefault="00F06DF4" w:rsidP="00F06DF4">
      <w:pPr>
        <w:jc w:val="both"/>
      </w:pPr>
      <w:r w:rsidRPr="00F0047E">
        <w:t xml:space="preserve">La commission, </w:t>
      </w:r>
      <w:r w:rsidRPr="0053438C">
        <w:t>présidée si possible par un administrateur,</w:t>
      </w:r>
      <w:r w:rsidRPr="00F0047E">
        <w:t xml:space="preserve"> et composée d’au </w:t>
      </w:r>
      <w:r w:rsidR="00A833FA">
        <w:t xml:space="preserve">moins un représentant par </w:t>
      </w:r>
      <w:r w:rsidRPr="00F0047E">
        <w:t>région, étudiera les éléments préparés par l’équipe permanente</w:t>
      </w:r>
      <w:r>
        <w:t xml:space="preserve"> ou par les membres de la commission ou par des membres invités (de SSTI)</w:t>
      </w:r>
      <w:r w:rsidRPr="00F0047E">
        <w:t>.</w:t>
      </w:r>
      <w:r>
        <w:t xml:space="preserve"> </w:t>
      </w:r>
    </w:p>
    <w:p w14:paraId="10BF0BC5" w14:textId="77777777" w:rsidR="00037525" w:rsidRPr="00F0047E" w:rsidRDefault="00037525" w:rsidP="00A85E41">
      <w:pPr>
        <w:jc w:val="both"/>
        <w:rPr>
          <w:b/>
          <w:sz w:val="16"/>
          <w:szCs w:val="16"/>
        </w:rPr>
      </w:pPr>
    </w:p>
    <w:p w14:paraId="0C332CF5" w14:textId="257B08AD" w:rsidR="00D101BB" w:rsidRPr="00F0047E" w:rsidRDefault="00C80D65" w:rsidP="00A85E41">
      <w:pPr>
        <w:jc w:val="both"/>
      </w:pPr>
      <w:r>
        <w:lastRenderedPageBreak/>
        <w:t>Pour l</w:t>
      </w:r>
      <w:r w:rsidR="00312516">
        <w:t>’animation des travaux, l</w:t>
      </w:r>
      <w:r>
        <w:t>a mise en forme des préconisations ou leur valorisation</w:t>
      </w:r>
      <w:r w:rsidR="002B5C76" w:rsidRPr="00F0047E">
        <w:t xml:space="preserve">, il pourra être fait appel à des compétences spécialisées </w:t>
      </w:r>
      <w:r w:rsidR="005F17E6" w:rsidRPr="00F0047E">
        <w:t xml:space="preserve">externes, en sus des compétences internes </w:t>
      </w:r>
      <w:r>
        <w:t>de Présanse</w:t>
      </w:r>
      <w:r w:rsidR="00E85968">
        <w:t>, après validation du budget correspondant par le conseil d’administration</w:t>
      </w:r>
      <w:r>
        <w:t>.</w:t>
      </w:r>
    </w:p>
    <w:p w14:paraId="225062CF" w14:textId="77777777" w:rsidR="00037525" w:rsidRPr="00F0047E" w:rsidRDefault="00037525" w:rsidP="00A85E41">
      <w:pPr>
        <w:jc w:val="both"/>
        <w:rPr>
          <w:sz w:val="16"/>
          <w:szCs w:val="16"/>
        </w:rPr>
      </w:pPr>
    </w:p>
    <w:p w14:paraId="00EB74B2" w14:textId="77777777" w:rsidR="00CE72B3" w:rsidRPr="00F0047E" w:rsidRDefault="00CE72B3" w:rsidP="00D101BB">
      <w:pPr>
        <w:rPr>
          <w:b/>
          <w:color w:val="F2F2F2" w:themeColor="background1" w:themeShade="F2"/>
          <w:sz w:val="28"/>
          <w:szCs w:val="28"/>
          <w:highlight w:val="darkBlue"/>
        </w:rPr>
      </w:pPr>
      <w:r w:rsidRPr="00F0047E">
        <w:rPr>
          <w:b/>
          <w:color w:val="F2F2F2" w:themeColor="background1" w:themeShade="F2"/>
          <w:sz w:val="28"/>
          <w:szCs w:val="28"/>
          <w:highlight w:val="darkBlue"/>
        </w:rPr>
        <w:t>Echéance</w:t>
      </w:r>
      <w:r w:rsidR="00916077">
        <w:rPr>
          <w:b/>
          <w:color w:val="F2F2F2" w:themeColor="background1" w:themeShade="F2"/>
          <w:sz w:val="28"/>
          <w:szCs w:val="28"/>
          <w:highlight w:val="darkBlue"/>
        </w:rPr>
        <w:t>s</w:t>
      </w:r>
    </w:p>
    <w:p w14:paraId="63E88DCE" w14:textId="77777777" w:rsidR="00CE72B3" w:rsidRPr="00F0047E" w:rsidRDefault="00CE72B3" w:rsidP="00A85E41">
      <w:pPr>
        <w:jc w:val="both"/>
      </w:pPr>
    </w:p>
    <w:p w14:paraId="6B94FA11" w14:textId="77777777" w:rsidR="009820D0" w:rsidRPr="00F0047E" w:rsidRDefault="00A85E41" w:rsidP="00A85E41">
      <w:pPr>
        <w:jc w:val="both"/>
      </w:pPr>
      <w:r w:rsidRPr="00F0047E">
        <w:t xml:space="preserve">Le Conseil d’Administration </w:t>
      </w:r>
      <w:r w:rsidR="00C80D65">
        <w:t>sera informé régulièrement de l’avancement des travaux</w:t>
      </w:r>
      <w:r w:rsidR="00916077">
        <w:t>, pour une présentation annuelle</w:t>
      </w:r>
      <w:r w:rsidR="0059055D" w:rsidRPr="0059055D">
        <w:t xml:space="preserve"> </w:t>
      </w:r>
      <w:r w:rsidR="0059055D">
        <w:t>à l’AG</w:t>
      </w:r>
      <w:r w:rsidR="00916077">
        <w:t>.</w:t>
      </w:r>
    </w:p>
    <w:sectPr w:rsidR="009820D0" w:rsidRPr="00F004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1629F" w14:textId="77777777" w:rsidR="002935A2" w:rsidRDefault="002935A2" w:rsidP="009820D0">
      <w:r>
        <w:separator/>
      </w:r>
    </w:p>
  </w:endnote>
  <w:endnote w:type="continuationSeparator" w:id="0">
    <w:p w14:paraId="7BDDB5FA" w14:textId="77777777" w:rsidR="002935A2" w:rsidRDefault="002935A2" w:rsidP="009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9E58" w14:textId="77777777" w:rsidR="002935A2" w:rsidRDefault="002935A2" w:rsidP="009820D0">
      <w:r>
        <w:separator/>
      </w:r>
    </w:p>
  </w:footnote>
  <w:footnote w:type="continuationSeparator" w:id="0">
    <w:p w14:paraId="31431417" w14:textId="77777777" w:rsidR="002935A2" w:rsidRDefault="002935A2" w:rsidP="0098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3"/>
      <w:gridCol w:w="4154"/>
      <w:gridCol w:w="1803"/>
    </w:tblGrid>
    <w:tr w:rsidR="009820D0" w14:paraId="554B7712" w14:textId="77777777" w:rsidTr="00F0047E">
      <w:tc>
        <w:tcPr>
          <w:tcW w:w="3253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411C74C" w14:textId="77777777" w:rsidR="009820D0" w:rsidRDefault="00F0047E" w:rsidP="009820D0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  <w:noProof/>
              <w:lang w:eastAsia="fr-FR"/>
            </w:rPr>
            <w:drawing>
              <wp:inline distT="0" distB="0" distL="0" distR="0" wp14:anchorId="6115A3AF" wp14:editId="16354D7D">
                <wp:extent cx="1644976" cy="701964"/>
                <wp:effectExtent l="0" t="0" r="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esans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697" cy="712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175D5E" w14:textId="77777777" w:rsidR="009820D0" w:rsidRDefault="009820D0" w:rsidP="009820D0">
          <w:pPr>
            <w:pStyle w:val="En-tte"/>
            <w:rPr>
              <w:rFonts w:ascii="Century Gothic" w:hAnsi="Century Gothic"/>
              <w:sz w:val="20"/>
            </w:rPr>
          </w:pPr>
        </w:p>
        <w:p w14:paraId="50659FD0" w14:textId="77777777" w:rsidR="009820D0" w:rsidRPr="0057089D" w:rsidRDefault="009820D0" w:rsidP="009820D0">
          <w:pPr>
            <w:pStyle w:val="En-tte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  <w:p w14:paraId="65B0BF09" w14:textId="77777777" w:rsidR="009820D0" w:rsidRDefault="00A74EE6" w:rsidP="009820D0">
          <w:pPr>
            <w:pStyle w:val="En-tte"/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Lettre d’orientation</w:t>
          </w:r>
        </w:p>
        <w:p w14:paraId="489D9941" w14:textId="77777777" w:rsidR="00C80D65" w:rsidRDefault="00EC0CB4" w:rsidP="009820D0">
          <w:pPr>
            <w:pStyle w:val="En-tte"/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Commission RH</w:t>
          </w:r>
        </w:p>
        <w:p w14:paraId="610D3C69" w14:textId="77777777" w:rsidR="009820D0" w:rsidRDefault="009820D0" w:rsidP="009820D0">
          <w:pPr>
            <w:pStyle w:val="En-tte"/>
            <w:jc w:val="center"/>
            <w:rPr>
              <w:rFonts w:ascii="Century Gothic" w:hAnsi="Century Gothic"/>
              <w:b/>
              <w:bCs/>
              <w:i/>
            </w:rPr>
          </w:pPr>
        </w:p>
      </w:tc>
      <w:tc>
        <w:tcPr>
          <w:tcW w:w="180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53D37444" w14:textId="77777777" w:rsidR="009820D0" w:rsidRDefault="009820D0" w:rsidP="009820D0">
          <w:pPr>
            <w:pStyle w:val="En-tte"/>
            <w:rPr>
              <w:rFonts w:ascii="Century Gothic" w:hAnsi="Century Gothic"/>
              <w:sz w:val="20"/>
            </w:rPr>
          </w:pPr>
        </w:p>
        <w:p w14:paraId="722032A9" w14:textId="77777777" w:rsidR="00C80D65" w:rsidRDefault="00C80D65" w:rsidP="009820D0">
          <w:pPr>
            <w:pStyle w:val="En-tte"/>
            <w:rPr>
              <w:rFonts w:ascii="Century Gothic" w:hAnsi="Century Gothic"/>
              <w:sz w:val="20"/>
            </w:rPr>
          </w:pPr>
        </w:p>
        <w:p w14:paraId="5844750E" w14:textId="697354DD" w:rsidR="00C80D65" w:rsidRDefault="00A833FA" w:rsidP="00B66FF0">
          <w:pPr>
            <w:pStyle w:val="En-tte"/>
            <w:tabs>
              <w:tab w:val="clear" w:pos="4536"/>
              <w:tab w:val="clear" w:pos="9072"/>
              <w:tab w:val="center" w:pos="831"/>
            </w:tabs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Version validée</w:t>
          </w:r>
          <w:r w:rsidR="00EC0CB4">
            <w:rPr>
              <w:rFonts w:ascii="Century Gothic" w:hAnsi="Century Gothic"/>
              <w:sz w:val="20"/>
            </w:rPr>
            <w:tab/>
          </w:r>
        </w:p>
      </w:tc>
    </w:tr>
  </w:tbl>
  <w:p w14:paraId="4B23D756" w14:textId="6EC0E406" w:rsidR="009820D0" w:rsidRDefault="009820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41B"/>
    <w:multiLevelType w:val="hybridMultilevel"/>
    <w:tmpl w:val="D31A0570"/>
    <w:lvl w:ilvl="0" w:tplc="23BC4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46F"/>
    <w:multiLevelType w:val="hybridMultilevel"/>
    <w:tmpl w:val="080AE670"/>
    <w:lvl w:ilvl="0" w:tplc="9A2885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929"/>
    <w:multiLevelType w:val="hybridMultilevel"/>
    <w:tmpl w:val="A446B4F2"/>
    <w:lvl w:ilvl="0" w:tplc="1F7A0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42FA"/>
    <w:multiLevelType w:val="hybridMultilevel"/>
    <w:tmpl w:val="FE2A4E90"/>
    <w:lvl w:ilvl="0" w:tplc="88523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6F9A"/>
    <w:multiLevelType w:val="hybridMultilevel"/>
    <w:tmpl w:val="621A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994"/>
    <w:multiLevelType w:val="hybridMultilevel"/>
    <w:tmpl w:val="3C02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36B"/>
    <w:multiLevelType w:val="hybridMultilevel"/>
    <w:tmpl w:val="5F606B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E8607A"/>
    <w:multiLevelType w:val="hybridMultilevel"/>
    <w:tmpl w:val="FF74B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580"/>
    <w:multiLevelType w:val="hybridMultilevel"/>
    <w:tmpl w:val="A040337C"/>
    <w:lvl w:ilvl="0" w:tplc="7AE8A75C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981"/>
    <w:multiLevelType w:val="hybridMultilevel"/>
    <w:tmpl w:val="95601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2202"/>
    <w:multiLevelType w:val="hybridMultilevel"/>
    <w:tmpl w:val="D2EEA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9544F"/>
    <w:multiLevelType w:val="hybridMultilevel"/>
    <w:tmpl w:val="ACEC5124"/>
    <w:lvl w:ilvl="0" w:tplc="987EA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8A1"/>
    <w:multiLevelType w:val="hybridMultilevel"/>
    <w:tmpl w:val="51849D1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4041D7"/>
    <w:multiLevelType w:val="hybridMultilevel"/>
    <w:tmpl w:val="1CEA9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E24DA"/>
    <w:multiLevelType w:val="hybridMultilevel"/>
    <w:tmpl w:val="FE9AD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33B6"/>
    <w:multiLevelType w:val="hybridMultilevel"/>
    <w:tmpl w:val="69A09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255067C-255C-4B2A-9A51-7C17E9C1DC44}"/>
    <w:docVar w:name="dgnword-eventsink" w:val="2823321490912"/>
  </w:docVars>
  <w:rsids>
    <w:rsidRoot w:val="007F66FF"/>
    <w:rsid w:val="0001284F"/>
    <w:rsid w:val="00037525"/>
    <w:rsid w:val="0005741D"/>
    <w:rsid w:val="000947F1"/>
    <w:rsid w:val="000A41BA"/>
    <w:rsid w:val="000B6F59"/>
    <w:rsid w:val="001125CA"/>
    <w:rsid w:val="001619FD"/>
    <w:rsid w:val="0017254D"/>
    <w:rsid w:val="001F4E4D"/>
    <w:rsid w:val="00214230"/>
    <w:rsid w:val="002332C7"/>
    <w:rsid w:val="00234545"/>
    <w:rsid w:val="002442F9"/>
    <w:rsid w:val="002935A2"/>
    <w:rsid w:val="00295CA6"/>
    <w:rsid w:val="002B5890"/>
    <w:rsid w:val="002B5C76"/>
    <w:rsid w:val="0030208A"/>
    <w:rsid w:val="00312516"/>
    <w:rsid w:val="003A2A8B"/>
    <w:rsid w:val="003B3AF6"/>
    <w:rsid w:val="003F5764"/>
    <w:rsid w:val="003F761B"/>
    <w:rsid w:val="00405F0A"/>
    <w:rsid w:val="00450205"/>
    <w:rsid w:val="004518C9"/>
    <w:rsid w:val="004923D4"/>
    <w:rsid w:val="004A3BD4"/>
    <w:rsid w:val="004B6439"/>
    <w:rsid w:val="004C1E3E"/>
    <w:rsid w:val="004D59DD"/>
    <w:rsid w:val="004E4FE1"/>
    <w:rsid w:val="00501294"/>
    <w:rsid w:val="0053438C"/>
    <w:rsid w:val="005510ED"/>
    <w:rsid w:val="00571303"/>
    <w:rsid w:val="00580B6B"/>
    <w:rsid w:val="0059055D"/>
    <w:rsid w:val="005E7B32"/>
    <w:rsid w:val="005F17E6"/>
    <w:rsid w:val="005F2279"/>
    <w:rsid w:val="00624251"/>
    <w:rsid w:val="00644D6C"/>
    <w:rsid w:val="00651FCB"/>
    <w:rsid w:val="006B027D"/>
    <w:rsid w:val="006B72D3"/>
    <w:rsid w:val="006D3EAF"/>
    <w:rsid w:val="007256AE"/>
    <w:rsid w:val="0074107D"/>
    <w:rsid w:val="00744692"/>
    <w:rsid w:val="00760C81"/>
    <w:rsid w:val="007E1ADB"/>
    <w:rsid w:val="007E3EDB"/>
    <w:rsid w:val="007F66FF"/>
    <w:rsid w:val="0084590D"/>
    <w:rsid w:val="00845970"/>
    <w:rsid w:val="00893660"/>
    <w:rsid w:val="008B3F82"/>
    <w:rsid w:val="008D1620"/>
    <w:rsid w:val="008E103B"/>
    <w:rsid w:val="0090724F"/>
    <w:rsid w:val="00912405"/>
    <w:rsid w:val="00916077"/>
    <w:rsid w:val="009411F0"/>
    <w:rsid w:val="009820D0"/>
    <w:rsid w:val="00A20230"/>
    <w:rsid w:val="00A20837"/>
    <w:rsid w:val="00A3052A"/>
    <w:rsid w:val="00A727AD"/>
    <w:rsid w:val="00A72DBE"/>
    <w:rsid w:val="00A74EE6"/>
    <w:rsid w:val="00A833FA"/>
    <w:rsid w:val="00A854F3"/>
    <w:rsid w:val="00A85E41"/>
    <w:rsid w:val="00B063BB"/>
    <w:rsid w:val="00B66FF0"/>
    <w:rsid w:val="00B764E4"/>
    <w:rsid w:val="00B840A6"/>
    <w:rsid w:val="00C13B05"/>
    <w:rsid w:val="00C80D65"/>
    <w:rsid w:val="00CE5B68"/>
    <w:rsid w:val="00CE72B3"/>
    <w:rsid w:val="00CF0F4F"/>
    <w:rsid w:val="00CF751E"/>
    <w:rsid w:val="00D00CD7"/>
    <w:rsid w:val="00D101BB"/>
    <w:rsid w:val="00D3775D"/>
    <w:rsid w:val="00D42BE6"/>
    <w:rsid w:val="00D62402"/>
    <w:rsid w:val="00D6446D"/>
    <w:rsid w:val="00D66AD6"/>
    <w:rsid w:val="00DD26E5"/>
    <w:rsid w:val="00DF4DFB"/>
    <w:rsid w:val="00E03EC4"/>
    <w:rsid w:val="00E56BC2"/>
    <w:rsid w:val="00E65187"/>
    <w:rsid w:val="00E705AD"/>
    <w:rsid w:val="00E85968"/>
    <w:rsid w:val="00EC0CB4"/>
    <w:rsid w:val="00EC31A6"/>
    <w:rsid w:val="00EE1246"/>
    <w:rsid w:val="00EF1681"/>
    <w:rsid w:val="00F0047E"/>
    <w:rsid w:val="00F06DF4"/>
    <w:rsid w:val="00F467B0"/>
    <w:rsid w:val="00F871BF"/>
    <w:rsid w:val="00F9636A"/>
    <w:rsid w:val="00FB5831"/>
    <w:rsid w:val="00FC3FB0"/>
    <w:rsid w:val="00FD13D0"/>
    <w:rsid w:val="00FD6588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9319E"/>
  <w15:docId w15:val="{B753814B-7855-42C2-8023-1F966CD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40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9820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0D0"/>
  </w:style>
  <w:style w:type="paragraph" w:styleId="Pieddepage">
    <w:name w:val="footer"/>
    <w:basedOn w:val="Normal"/>
    <w:link w:val="PieddepageCar"/>
    <w:uiPriority w:val="99"/>
    <w:unhideWhenUsed/>
    <w:rsid w:val="009820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0D0"/>
  </w:style>
  <w:style w:type="character" w:styleId="Numrodepage">
    <w:name w:val="page number"/>
    <w:basedOn w:val="Policepardfaut"/>
    <w:semiHidden/>
    <w:rsid w:val="009820D0"/>
  </w:style>
  <w:style w:type="paragraph" w:styleId="Textedebulles">
    <w:name w:val="Balloon Text"/>
    <w:basedOn w:val="Normal"/>
    <w:link w:val="TextedebullesCar"/>
    <w:uiPriority w:val="99"/>
    <w:semiHidden/>
    <w:unhideWhenUsed/>
    <w:rsid w:val="007256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6AE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60C81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60C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9393-20A1-4E7E-8570-ECBFBD63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</dc:creator>
  <cp:lastModifiedBy>Julie Decottignies</cp:lastModifiedBy>
  <cp:revision>2</cp:revision>
  <cp:lastPrinted>2019-07-18T07:09:00Z</cp:lastPrinted>
  <dcterms:created xsi:type="dcterms:W3CDTF">2020-01-13T14:44:00Z</dcterms:created>
  <dcterms:modified xsi:type="dcterms:W3CDTF">2020-01-13T14:44:00Z</dcterms:modified>
</cp:coreProperties>
</file>