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C5377" w14:textId="77777777" w:rsidR="00B334DD" w:rsidRPr="00204851" w:rsidRDefault="00B334DD" w:rsidP="00B334DD">
      <w:pPr>
        <w:jc w:val="center"/>
        <w:rPr>
          <w:b/>
          <w:color w:val="00B0F0"/>
        </w:rPr>
      </w:pPr>
      <w:r w:rsidRPr="00204851">
        <w:rPr>
          <w:b/>
          <w:color w:val="00B0F0"/>
        </w:rPr>
        <w:t>Décret n°</w:t>
      </w:r>
      <w:r w:rsidR="00235B7F" w:rsidRPr="00204851">
        <w:rPr>
          <w:b/>
          <w:color w:val="00B0F0"/>
        </w:rPr>
        <w:t xml:space="preserve"> </w:t>
      </w:r>
      <w:r w:rsidRPr="00204851">
        <w:rPr>
          <w:b/>
          <w:color w:val="00B0F0"/>
        </w:rPr>
        <w:t>n° 2021-56 du 22 janvier 2021 adaptant temporairement les délais de réalisation des visites et examens médicaux par les services de santé au travail à l'urgence sanitaire</w:t>
      </w:r>
    </w:p>
    <w:p w14:paraId="7F7DFED8" w14:textId="77777777" w:rsidR="00C541D6" w:rsidRPr="00204851" w:rsidRDefault="00C541D6" w:rsidP="00235B7F">
      <w:pPr>
        <w:jc w:val="both"/>
        <w:rPr>
          <w:b/>
          <w:bCs/>
        </w:rPr>
      </w:pPr>
    </w:p>
    <w:p w14:paraId="1FA6AC2B" w14:textId="77777777" w:rsidR="00514105" w:rsidRDefault="00514105" w:rsidP="00235B7F">
      <w:pPr>
        <w:jc w:val="both"/>
      </w:pPr>
      <w:r w:rsidRPr="00514105">
        <w:t xml:space="preserve">Un décret </w:t>
      </w:r>
      <w:r w:rsidR="00B334DD">
        <w:t>publié au Journal Off</w:t>
      </w:r>
      <w:r w:rsidR="006F540D">
        <w:t>i</w:t>
      </w:r>
      <w:r w:rsidR="00B334DD">
        <w:t xml:space="preserve">ciel le 24 janvier </w:t>
      </w:r>
      <w:r w:rsidR="006F540D">
        <w:t xml:space="preserve">2021 </w:t>
      </w:r>
      <w:r>
        <w:t>o</w:t>
      </w:r>
      <w:r w:rsidRPr="00514105">
        <w:t>rganise le report de certaines visites médicales des</w:t>
      </w:r>
      <w:r w:rsidR="006F540D">
        <w:t xml:space="preserve"> salariés, en application de l’O</w:t>
      </w:r>
      <w:r w:rsidRPr="00514105">
        <w:t>rdonnance du 2 décembre 2020 adaptant temporairement les conditions d’exercice des missions des services de santé au travail (</w:t>
      </w:r>
      <w:r>
        <w:t xml:space="preserve">SST) face à l’urgence sanitaire. </w:t>
      </w:r>
    </w:p>
    <w:p w14:paraId="58279F4C" w14:textId="77777777" w:rsidR="00514105" w:rsidRDefault="0021325B" w:rsidP="00235B7F">
      <w:pPr>
        <w:jc w:val="both"/>
      </w:pPr>
      <w:r>
        <w:t>Ce décret organise également les conditions dans lesquelles un infirmier en santé au travail peut se voir confier la réalisation de certaines visites.</w:t>
      </w:r>
    </w:p>
    <w:p w14:paraId="031710DD" w14:textId="77777777" w:rsidR="0021325B" w:rsidRDefault="0021325B" w:rsidP="00235B7F">
      <w:pPr>
        <w:jc w:val="both"/>
      </w:pPr>
    </w:p>
    <w:p w14:paraId="26EE9121" w14:textId="77777777" w:rsidR="0021325B" w:rsidRDefault="0021325B" w:rsidP="00235B7F">
      <w:pPr>
        <w:jc w:val="both"/>
      </w:pPr>
      <w:r>
        <w:t xml:space="preserve">Les mesures listées ci-dessous entrent en vigueur </w:t>
      </w:r>
      <w:r w:rsidRPr="0021325B">
        <w:rPr>
          <w:b/>
        </w:rPr>
        <w:t>dès le 24 janvier 2021.</w:t>
      </w:r>
    </w:p>
    <w:p w14:paraId="2942643A" w14:textId="77777777" w:rsidR="00514105" w:rsidRDefault="00514105" w:rsidP="00235B7F">
      <w:pPr>
        <w:jc w:val="both"/>
      </w:pPr>
    </w:p>
    <w:p w14:paraId="730BC941" w14:textId="77777777" w:rsidR="00514105" w:rsidRPr="00514105" w:rsidRDefault="00514105" w:rsidP="00514105">
      <w:pPr>
        <w:pStyle w:val="Paragraphedeliste"/>
        <w:numPr>
          <w:ilvl w:val="0"/>
          <w:numId w:val="7"/>
        </w:numPr>
        <w:jc w:val="both"/>
        <w:rPr>
          <w:b/>
        </w:rPr>
      </w:pPr>
      <w:r w:rsidRPr="00514105">
        <w:rPr>
          <w:b/>
        </w:rPr>
        <w:t xml:space="preserve">Le report de certaines visites médicales </w:t>
      </w:r>
    </w:p>
    <w:p w14:paraId="2634A7B2" w14:textId="77777777" w:rsidR="00514105" w:rsidRDefault="00514105" w:rsidP="00235B7F">
      <w:pPr>
        <w:jc w:val="both"/>
      </w:pPr>
    </w:p>
    <w:p w14:paraId="4875F36C" w14:textId="35F2C0C9" w:rsidR="00C541D6" w:rsidRDefault="00514105" w:rsidP="00235B7F">
      <w:pPr>
        <w:jc w:val="both"/>
      </w:pPr>
      <w:r>
        <w:t>On notera au préalable que l</w:t>
      </w:r>
      <w:r w:rsidR="00E97E7B">
        <w:t>a date limite de réalisation des visites et examens médicaux</w:t>
      </w:r>
      <w:r w:rsidR="00844408">
        <w:t>,</w:t>
      </w:r>
      <w:r w:rsidR="00E97E7B">
        <w:t xml:space="preserve"> dont l’échéance </w:t>
      </w:r>
      <w:r w:rsidR="00844408">
        <w:t>intervient a</w:t>
      </w:r>
      <w:r w:rsidR="00B334DD" w:rsidRPr="00B334DD">
        <w:t>vant le 17 avril 2021</w:t>
      </w:r>
      <w:r w:rsidR="00844408">
        <w:t>, est modifié.</w:t>
      </w:r>
      <w:r w:rsidR="008D6BB4">
        <w:t xml:space="preserve"> </w:t>
      </w:r>
      <w:r w:rsidR="00E97E7B">
        <w:t xml:space="preserve"> </w:t>
      </w:r>
    </w:p>
    <w:p w14:paraId="7008522B" w14:textId="77777777" w:rsidR="00E97E7B" w:rsidRDefault="00E97E7B" w:rsidP="00235B7F">
      <w:pPr>
        <w:jc w:val="both"/>
      </w:pPr>
    </w:p>
    <w:p w14:paraId="0A4536F5" w14:textId="77777777" w:rsidR="00B334DD" w:rsidRPr="00B334DD" w:rsidRDefault="00B334DD" w:rsidP="00B334DD">
      <w:pPr>
        <w:shd w:val="clear" w:color="auto" w:fill="E7E6E6" w:themeFill="background2"/>
        <w:jc w:val="both"/>
        <w:rPr>
          <w:b/>
        </w:rPr>
      </w:pPr>
      <w:r w:rsidRPr="00B334DD">
        <w:rPr>
          <w:b/>
        </w:rPr>
        <w:t>Article 1</w:t>
      </w:r>
    </w:p>
    <w:p w14:paraId="1C5A07E2" w14:textId="77777777" w:rsidR="00E97E7B" w:rsidRPr="00470685" w:rsidRDefault="00B334DD" w:rsidP="00B334DD">
      <w:pPr>
        <w:shd w:val="clear" w:color="auto" w:fill="E7E6E6" w:themeFill="background2"/>
        <w:jc w:val="both"/>
      </w:pPr>
      <w:r w:rsidRPr="00B334DD">
        <w:t>La date limite de réalisation des visites et examens médicaux dont l'échéance résultant des textes réglementaires applicables antérieurement à l'entrée en vigueur de l'ordonnance du 1er avril 2020 susvisée intervient avant le 17 avril 2021, est modifiée conformément aux articles 2 à 4.</w:t>
      </w:r>
      <w:r w:rsidRPr="00B334DD">
        <w:br/>
        <w:t>Ces mêmes articles sont également applicables aux visites médicales reportées en application de l'article 3 de l'ordonnance du 1er avril 2020 susvisée et qui n'ont pu être réalisées avant le 4 décembre 2020.</w:t>
      </w:r>
      <w:r w:rsidRPr="00470685">
        <w:t xml:space="preserve"> </w:t>
      </w:r>
    </w:p>
    <w:p w14:paraId="44ED2964" w14:textId="77777777" w:rsidR="001153CB" w:rsidRDefault="001153CB" w:rsidP="00235B7F">
      <w:pPr>
        <w:jc w:val="both"/>
      </w:pPr>
    </w:p>
    <w:p w14:paraId="5959B552" w14:textId="77777777" w:rsidR="001153CB" w:rsidRDefault="00586433" w:rsidP="00235B7F">
      <w:pPr>
        <w:jc w:val="both"/>
      </w:pPr>
      <w:r>
        <w:t xml:space="preserve">Le médecin du travail </w:t>
      </w:r>
      <w:r w:rsidRPr="00204851">
        <w:rPr>
          <w:b/>
        </w:rPr>
        <w:t>peut reporter</w:t>
      </w:r>
      <w:r>
        <w:t>, au plus tard jusqu’à un an après l’échéance « normale » résultant des textes réglementaires en vigueur, la date des visites et examens médicaux suivants :</w:t>
      </w:r>
    </w:p>
    <w:p w14:paraId="618DFC61" w14:textId="77777777" w:rsidR="00B334DD" w:rsidRDefault="00B334DD" w:rsidP="00235B7F">
      <w:pPr>
        <w:jc w:val="both"/>
      </w:pPr>
    </w:p>
    <w:p w14:paraId="1F17FD2B" w14:textId="77777777" w:rsidR="00586433" w:rsidRDefault="00586433" w:rsidP="00586433">
      <w:pPr>
        <w:pStyle w:val="Paragraphedeliste"/>
        <w:numPr>
          <w:ilvl w:val="0"/>
          <w:numId w:val="11"/>
        </w:numPr>
        <w:jc w:val="both"/>
      </w:pPr>
      <w:r>
        <w:t>La visite d’information et de prévention initiale prévue aux articles R. 4624-10 et suivants du Code du travail</w:t>
      </w:r>
      <w:r w:rsidR="00B01D9A">
        <w:t>, ou l’examen médical de l’agent par la médecine du travail avant sa prise de fonctions prévu à l’article R. 4626-22 du Code du travail ;</w:t>
      </w:r>
    </w:p>
    <w:p w14:paraId="76580B9F" w14:textId="77777777" w:rsidR="00B334DD" w:rsidRDefault="00B334DD" w:rsidP="00B334DD">
      <w:pPr>
        <w:pStyle w:val="Paragraphedeliste"/>
        <w:ind w:left="408"/>
        <w:jc w:val="both"/>
      </w:pPr>
    </w:p>
    <w:p w14:paraId="2AC2CB06" w14:textId="77777777" w:rsidR="00B01D9A" w:rsidRDefault="00B01D9A" w:rsidP="00586433">
      <w:pPr>
        <w:pStyle w:val="Paragraphedeliste"/>
        <w:numPr>
          <w:ilvl w:val="0"/>
          <w:numId w:val="11"/>
        </w:numPr>
        <w:jc w:val="both"/>
      </w:pPr>
      <w:r>
        <w:t>Le renouvellement de la visite d’information et de prévention prévu à l’article R. 4624-16 du Code du travail ;</w:t>
      </w:r>
    </w:p>
    <w:p w14:paraId="0DF36D30" w14:textId="77777777" w:rsidR="00B334DD" w:rsidRDefault="00B334DD" w:rsidP="00B334DD">
      <w:pPr>
        <w:pStyle w:val="Paragraphedeliste"/>
      </w:pPr>
    </w:p>
    <w:p w14:paraId="4EB09344" w14:textId="77777777" w:rsidR="00B01D9A" w:rsidRDefault="00B01D9A" w:rsidP="00586433">
      <w:pPr>
        <w:pStyle w:val="Paragraphedeliste"/>
        <w:numPr>
          <w:ilvl w:val="0"/>
          <w:numId w:val="11"/>
        </w:numPr>
        <w:jc w:val="both"/>
      </w:pPr>
      <w:r>
        <w:t>Le renouvellement de l’examen d’aptitude et la visite intermédiaire, prévu à l’article R. 4624-28 du Code du travail, à l’exception de renouvellement de l’examen d’aptitude prévu par l’article R. 4451-82 du Code du travail pour les travailleurs exposés à des rayonnements ionisants classés en catégorie A en application de l’article R. 4451-57 du Code du travail.</w:t>
      </w:r>
    </w:p>
    <w:p w14:paraId="670E86D2" w14:textId="77777777" w:rsidR="00B01D9A" w:rsidRDefault="00B01D9A" w:rsidP="00B01D9A">
      <w:pPr>
        <w:jc w:val="both"/>
      </w:pPr>
    </w:p>
    <w:p w14:paraId="33570E71" w14:textId="77777777" w:rsidR="00B01D9A" w:rsidRDefault="00B01D9A" w:rsidP="00B01D9A">
      <w:pPr>
        <w:jc w:val="both"/>
      </w:pPr>
      <w:r>
        <w:t xml:space="preserve">Mais </w:t>
      </w:r>
      <w:r w:rsidRPr="00204851">
        <w:rPr>
          <w:b/>
        </w:rPr>
        <w:t>ne peuvent</w:t>
      </w:r>
      <w:r>
        <w:t xml:space="preserve"> faire l’objet </w:t>
      </w:r>
      <w:r w:rsidRPr="00204851">
        <w:rPr>
          <w:b/>
        </w:rPr>
        <w:t>d’aucun report</w:t>
      </w:r>
      <w:r>
        <w:t xml:space="preserve"> au-delà de l’échéance « normale », les visites et examens médicaux suivants :</w:t>
      </w:r>
    </w:p>
    <w:p w14:paraId="2DD1CAF6" w14:textId="77777777" w:rsidR="00B01D9A" w:rsidRDefault="00B01D9A" w:rsidP="00B01D9A">
      <w:pPr>
        <w:jc w:val="both"/>
      </w:pPr>
    </w:p>
    <w:p w14:paraId="646404E6" w14:textId="77777777" w:rsidR="00B334DD" w:rsidRDefault="00B01D9A" w:rsidP="00B01D9A">
      <w:pPr>
        <w:pStyle w:val="Paragraphedeliste"/>
        <w:numPr>
          <w:ilvl w:val="0"/>
          <w:numId w:val="11"/>
        </w:numPr>
        <w:jc w:val="both"/>
      </w:pPr>
      <w:r>
        <w:t>La visite d’information et de prévention initiale prévue à l’article R. 4624-10 du Code du travail concernant</w:t>
      </w:r>
      <w:r w:rsidR="00B334DD">
        <w:t> :</w:t>
      </w:r>
    </w:p>
    <w:p w14:paraId="6C1CDAF8" w14:textId="77777777" w:rsidR="00B334DD" w:rsidRDefault="00B01D9A" w:rsidP="00B334DD">
      <w:pPr>
        <w:pStyle w:val="Paragraphedeliste"/>
        <w:numPr>
          <w:ilvl w:val="1"/>
          <w:numId w:val="11"/>
        </w:numPr>
        <w:jc w:val="both"/>
      </w:pPr>
      <w:r>
        <w:t xml:space="preserve">les travailleurs handicapés ; </w:t>
      </w:r>
    </w:p>
    <w:p w14:paraId="2A09601E" w14:textId="4F81ECDC" w:rsidR="00B334DD" w:rsidRDefault="00844408" w:rsidP="00B334DD">
      <w:pPr>
        <w:pStyle w:val="Paragraphedeliste"/>
        <w:numPr>
          <w:ilvl w:val="1"/>
          <w:numId w:val="11"/>
        </w:numPr>
        <w:jc w:val="both"/>
      </w:pPr>
      <w:r>
        <w:t>les travailleurs qui déclarent</w:t>
      </w:r>
      <w:r w:rsidR="00B01D9A">
        <w:t xml:space="preserve"> être titulaires d’une pension d’invalidité ; </w:t>
      </w:r>
    </w:p>
    <w:p w14:paraId="44B93AD6" w14:textId="77777777" w:rsidR="00B334DD" w:rsidRDefault="00B01D9A" w:rsidP="00B334DD">
      <w:pPr>
        <w:pStyle w:val="Paragraphedeliste"/>
        <w:numPr>
          <w:ilvl w:val="1"/>
          <w:numId w:val="11"/>
        </w:numPr>
        <w:jc w:val="both"/>
      </w:pPr>
      <w:r>
        <w:t xml:space="preserve">les femmes enceintes, venant d’accoucher ou allaitantes ; </w:t>
      </w:r>
    </w:p>
    <w:p w14:paraId="1112F8B7" w14:textId="77777777" w:rsidR="00B334DD" w:rsidRDefault="00B01D9A" w:rsidP="00B334DD">
      <w:pPr>
        <w:pStyle w:val="Paragraphedeliste"/>
        <w:numPr>
          <w:ilvl w:val="1"/>
          <w:numId w:val="11"/>
        </w:numPr>
        <w:jc w:val="both"/>
      </w:pPr>
      <w:r>
        <w:t>les travailleurs âgés de moins de 18 ans ;</w:t>
      </w:r>
    </w:p>
    <w:p w14:paraId="1FDC3736" w14:textId="77777777" w:rsidR="00B334DD" w:rsidRDefault="00B01D9A" w:rsidP="00B334DD">
      <w:pPr>
        <w:pStyle w:val="Paragraphedeliste"/>
        <w:numPr>
          <w:ilvl w:val="1"/>
          <w:numId w:val="11"/>
        </w:numPr>
        <w:jc w:val="both"/>
      </w:pPr>
      <w:r>
        <w:t>les travailleurs de nuit ;</w:t>
      </w:r>
    </w:p>
    <w:p w14:paraId="5E3EC4F8" w14:textId="77777777" w:rsidR="00B334DD" w:rsidRDefault="00B334DD" w:rsidP="00B334DD">
      <w:pPr>
        <w:pStyle w:val="Paragraphedeliste"/>
        <w:ind w:left="1128"/>
        <w:jc w:val="both"/>
      </w:pPr>
    </w:p>
    <w:p w14:paraId="29173A55" w14:textId="77777777" w:rsidR="00B334DD" w:rsidRDefault="00B01D9A" w:rsidP="00B334DD">
      <w:pPr>
        <w:pStyle w:val="Paragraphedeliste"/>
        <w:numPr>
          <w:ilvl w:val="1"/>
          <w:numId w:val="11"/>
        </w:numPr>
        <w:jc w:val="both"/>
      </w:pPr>
      <w:r>
        <w:lastRenderedPageBreak/>
        <w:t xml:space="preserve">les travailleurs exposés à des champs électromagnétiques </w:t>
      </w:r>
      <w:r w:rsidR="00845D15" w:rsidRPr="00470685">
        <w:t>affectés à des postes pour lesquels les valeurs limites d’exposition fixées à l’article R. 4453-3 du code du travail sont dépassées ;</w:t>
      </w:r>
      <w:r w:rsidR="002A0BA7" w:rsidRPr="002A0BA7">
        <w:t xml:space="preserve"> </w:t>
      </w:r>
    </w:p>
    <w:p w14:paraId="6C792706" w14:textId="77777777" w:rsidR="00B01D9A" w:rsidRDefault="002A0BA7" w:rsidP="00B334DD">
      <w:pPr>
        <w:pStyle w:val="Paragraphedeliste"/>
        <w:numPr>
          <w:ilvl w:val="1"/>
          <w:numId w:val="11"/>
        </w:numPr>
        <w:jc w:val="both"/>
      </w:pPr>
      <w:r>
        <w:t>l</w:t>
      </w:r>
      <w:r w:rsidRPr="002A0BA7">
        <w:t>es travailleurs exposés à des agents biologiques de groupe 2</w:t>
      </w:r>
      <w:r>
        <w:t> ;</w:t>
      </w:r>
    </w:p>
    <w:p w14:paraId="7EDB11D4" w14:textId="77777777" w:rsidR="00B334DD" w:rsidRDefault="00B334DD" w:rsidP="00B334DD">
      <w:pPr>
        <w:pStyle w:val="Paragraphedeliste"/>
      </w:pPr>
    </w:p>
    <w:p w14:paraId="3547ED93" w14:textId="77777777" w:rsidR="002A0BA7" w:rsidRDefault="002A0BA7" w:rsidP="00B01D9A">
      <w:pPr>
        <w:pStyle w:val="Paragraphedeliste"/>
        <w:numPr>
          <w:ilvl w:val="0"/>
          <w:numId w:val="11"/>
        </w:numPr>
        <w:jc w:val="both"/>
      </w:pPr>
      <w:r>
        <w:t>L’examen médical d’aptitude initial prévu à l’article R. 4624-24 du Code du travail ;</w:t>
      </w:r>
    </w:p>
    <w:p w14:paraId="2371E81C" w14:textId="77777777" w:rsidR="00B334DD" w:rsidRDefault="00B334DD" w:rsidP="00B334DD">
      <w:pPr>
        <w:pStyle w:val="Paragraphedeliste"/>
        <w:ind w:left="408"/>
        <w:jc w:val="both"/>
      </w:pPr>
    </w:p>
    <w:p w14:paraId="63E24D7E" w14:textId="77777777" w:rsidR="002A0BA7" w:rsidRDefault="002A0BA7" w:rsidP="00B01D9A">
      <w:pPr>
        <w:pStyle w:val="Paragraphedeliste"/>
        <w:numPr>
          <w:ilvl w:val="0"/>
          <w:numId w:val="11"/>
        </w:numPr>
        <w:jc w:val="both"/>
      </w:pPr>
      <w:r>
        <w:t xml:space="preserve">Le renouvellement de l’examen d’aptitude prévu par l’article R. 4451-82 pour les travailleurs exposés à des rayonnements ionisants classés en catégorie A en application de l’article R. 4451-57 du Code du travail. </w:t>
      </w:r>
    </w:p>
    <w:p w14:paraId="7BC3B402" w14:textId="77777777" w:rsidR="00586433" w:rsidRDefault="00586433" w:rsidP="00235B7F">
      <w:pPr>
        <w:jc w:val="both"/>
      </w:pPr>
    </w:p>
    <w:p w14:paraId="1DDDBDBE" w14:textId="77777777" w:rsidR="00D36596" w:rsidRPr="00AF7869" w:rsidRDefault="00D36596" w:rsidP="00D36596">
      <w:pPr>
        <w:shd w:val="clear" w:color="auto" w:fill="FFFFFF"/>
        <w:jc w:val="both"/>
        <w:rPr>
          <w:rFonts w:ascii="Calibri" w:eastAsia="Times New Roman" w:hAnsi="Calibri" w:cs="Helvetica"/>
          <w:lang w:eastAsia="fr-FR"/>
        </w:rPr>
      </w:pPr>
      <w:r w:rsidRPr="00AF7869">
        <w:rPr>
          <w:rFonts w:ascii="Calibri" w:hAnsi="Calibri"/>
        </w:rPr>
        <w:t xml:space="preserve">A noter que lorsque le report est envisagé par le texte, il appartient en tout état de cause au médecin du travail d’apprécier la situation. En effet, le report des visites et examens médicaux précités sont </w:t>
      </w:r>
      <w:r w:rsidRPr="00AF7869">
        <w:rPr>
          <w:rFonts w:ascii="Calibri" w:eastAsia="Times New Roman" w:hAnsi="Calibri" w:cs="Helvetica"/>
          <w:lang w:eastAsia="fr-FR"/>
        </w:rPr>
        <w:t>réalisés dans le respect de l’échéance normale lorsque le médecin du travail l’estime indispensable au regard des informations dont il dispose concernant l’état de santé du salarié ainsi que les risques liés à son poste de travail ou à ses conditions de travail et des informations recueillies, si besoin, par le SST au cours d’échanges avec le salarié. Pour apprécier la situation d’un salarié en CDD, il devra également tenir compte des visites et examens dont il aura bénéficié au cours des 12 derniers mois.</w:t>
      </w:r>
    </w:p>
    <w:p w14:paraId="5EC4F62B" w14:textId="77777777" w:rsidR="00D36596" w:rsidRPr="00AF7869" w:rsidRDefault="00D36596" w:rsidP="00D36596">
      <w:pPr>
        <w:jc w:val="both"/>
        <w:rPr>
          <w:rFonts w:ascii="Calibri" w:hAnsi="Calibri"/>
        </w:rPr>
      </w:pPr>
    </w:p>
    <w:p w14:paraId="4524A8C9" w14:textId="77777777" w:rsidR="002812D2" w:rsidRPr="002812D2" w:rsidRDefault="002812D2" w:rsidP="002812D2">
      <w:pPr>
        <w:jc w:val="both"/>
        <w:rPr>
          <w:rFonts w:ascii="Calibri" w:hAnsi="Calibri"/>
        </w:rPr>
      </w:pPr>
      <w:r w:rsidRPr="00AF7869">
        <w:rPr>
          <w:rFonts w:ascii="Calibri" w:hAnsi="Calibri"/>
        </w:rPr>
        <w:t>Il convient d’ajouter que le décret prévoit en outre que certaines visites reportées en application de l’</w:t>
      </w:r>
      <w:hyperlink r:id="rId8" w:tooltip="lien" w:history="1">
        <w:r w:rsidRPr="00AF7869">
          <w:rPr>
            <w:rStyle w:val="Lienhypertexte"/>
            <w:rFonts w:ascii="Calibri" w:hAnsi="Calibri"/>
            <w:color w:val="auto"/>
            <w:u w:val="none"/>
          </w:rPr>
          <w:t>ordonnance n</w:t>
        </w:r>
        <w:r w:rsidRPr="00AF7869">
          <w:rPr>
            <w:rStyle w:val="Lienhypertexte"/>
            <w:rFonts w:ascii="Calibri" w:hAnsi="Calibri"/>
            <w:color w:val="auto"/>
            <w:u w:val="none"/>
            <w:vertAlign w:val="superscript"/>
          </w:rPr>
          <w:t>o</w:t>
        </w:r>
        <w:r w:rsidRPr="00AF7869">
          <w:rPr>
            <w:rStyle w:val="Lienhypertexte"/>
            <w:rFonts w:ascii="Calibri" w:hAnsi="Calibri"/>
            <w:color w:val="auto"/>
            <w:u w:val="none"/>
          </w:rPr>
          <w:t> 2020-386 du 1</w:t>
        </w:r>
        <w:r w:rsidRPr="00AF7869">
          <w:rPr>
            <w:rStyle w:val="Lienhypertexte"/>
            <w:rFonts w:ascii="Calibri" w:hAnsi="Calibri"/>
            <w:color w:val="auto"/>
            <w:u w:val="none"/>
            <w:vertAlign w:val="superscript"/>
          </w:rPr>
          <w:t>er</w:t>
        </w:r>
        <w:r w:rsidRPr="00AF7869">
          <w:rPr>
            <w:rStyle w:val="Lienhypertexte"/>
            <w:rFonts w:ascii="Calibri" w:hAnsi="Calibri"/>
            <w:color w:val="auto"/>
            <w:u w:val="none"/>
          </w:rPr>
          <w:t> avril 2020</w:t>
        </w:r>
      </w:hyperlink>
      <w:r w:rsidRPr="00AF7869">
        <w:rPr>
          <w:rFonts w:ascii="Calibri" w:hAnsi="Calibri"/>
        </w:rPr>
        <w:t> </w:t>
      </w:r>
      <w:r w:rsidRPr="00AF7869">
        <w:rPr>
          <w:rFonts w:ascii="Calibri" w:hAnsi="Calibri"/>
          <w:i/>
        </w:rPr>
        <w:t>(parue à l’occasion du premier confinement</w:t>
      </w:r>
      <w:r w:rsidRPr="00AF7869">
        <w:rPr>
          <w:rFonts w:ascii="Calibri" w:hAnsi="Calibri"/>
          <w:i/>
          <w:iCs/>
        </w:rPr>
        <w:t>)</w:t>
      </w:r>
      <w:r w:rsidRPr="00AF7869">
        <w:rPr>
          <w:rFonts w:ascii="Calibri" w:hAnsi="Calibri"/>
        </w:rPr>
        <w:t xml:space="preserve"> et qui n’avaient pas encore pu être réalisées au 4 décembre 2020, peuvent être reportées au plus tard jusqu’à </w:t>
      </w:r>
      <w:r w:rsidRPr="002812D2">
        <w:rPr>
          <w:rFonts w:ascii="Calibri" w:hAnsi="Calibri"/>
        </w:rPr>
        <w:t>un an aprè</w:t>
      </w:r>
      <w:r>
        <w:rPr>
          <w:rFonts w:ascii="Calibri" w:hAnsi="Calibri"/>
        </w:rPr>
        <w:t>s l’échéance normale. Il s’agit</w:t>
      </w:r>
      <w:r w:rsidRPr="002812D2">
        <w:rPr>
          <w:rFonts w:ascii="Calibri" w:hAnsi="Calibri"/>
        </w:rPr>
        <w:t xml:space="preserve"> de la visite d’information et de prévention initiale, du renouvellement de cette visite, du renouvellement de l’examen médical d’aptitude des salariés bénéficiant du suivi individuel renforcé ainsi que de la visite intermédiaire de ces mêmes salariés.</w:t>
      </w:r>
    </w:p>
    <w:p w14:paraId="2A6C06B4" w14:textId="77777777" w:rsidR="002812D2" w:rsidRDefault="002812D2" w:rsidP="002812D2">
      <w:pPr>
        <w:jc w:val="both"/>
        <w:rPr>
          <w:rFonts w:ascii="Calibri" w:hAnsi="Calibri"/>
        </w:rPr>
      </w:pPr>
    </w:p>
    <w:p w14:paraId="0D49FF82" w14:textId="77777777" w:rsidR="003019EA" w:rsidRPr="003019EA" w:rsidRDefault="002812D2" w:rsidP="003019EA">
      <w:pPr>
        <w:jc w:val="both"/>
      </w:pPr>
      <w:r w:rsidRPr="002812D2">
        <w:rPr>
          <w:rFonts w:ascii="Calibri" w:hAnsi="Calibri"/>
        </w:rPr>
        <w:t xml:space="preserve">En cas de report d’une visite ou d’un examen médical, </w:t>
      </w:r>
      <w:r w:rsidR="003019EA" w:rsidRPr="003019EA">
        <w:t>le médecin du travail en informe l'employeur et le travailleur, en leur communiquant la date à laquelle la visite est reprogrammée. Dans le cas où le médecin du travail ne dispose pas des coordonnées du travailleur, il invite l'employeur à communiquer à ce dernier ces informations.</w:t>
      </w:r>
    </w:p>
    <w:p w14:paraId="6ADBE914" w14:textId="77777777" w:rsidR="003019EA" w:rsidRPr="002812D2" w:rsidRDefault="003019EA" w:rsidP="002812D2">
      <w:pPr>
        <w:jc w:val="both"/>
        <w:rPr>
          <w:rFonts w:ascii="Calibri" w:hAnsi="Calibri"/>
        </w:rPr>
      </w:pPr>
    </w:p>
    <w:p w14:paraId="655B253D" w14:textId="77777777" w:rsidR="003019EA" w:rsidRPr="003019EA" w:rsidRDefault="00F04F2D" w:rsidP="003019EA">
      <w:pPr>
        <w:shd w:val="clear" w:color="auto" w:fill="E7E6E6" w:themeFill="background2"/>
        <w:jc w:val="both"/>
        <w:rPr>
          <w:b/>
        </w:rPr>
      </w:pPr>
      <w:hyperlink r:id="rId9" w:history="1">
        <w:r w:rsidR="003019EA" w:rsidRPr="003019EA">
          <w:rPr>
            <w:b/>
          </w:rPr>
          <w:t>Article 2</w:t>
        </w:r>
      </w:hyperlink>
    </w:p>
    <w:p w14:paraId="74B0731E" w14:textId="77777777" w:rsidR="003019EA" w:rsidRDefault="003019EA" w:rsidP="003019EA">
      <w:pPr>
        <w:shd w:val="clear" w:color="auto" w:fill="E7E6E6" w:themeFill="background2"/>
      </w:pPr>
      <w:r w:rsidRPr="003019EA">
        <w:br/>
        <w:t>I. - Par dérogation aux délais définis par les articles mentionnés au présent I, le médecin du travail peut reporter, au plus tard jusqu'à un an après l'échéance résultant des textes réglementaires en vigueur antérieurement à l'entrée en vigueur de l'ordonnance du 1</w:t>
      </w:r>
      <w:r w:rsidRPr="003019EA">
        <w:rPr>
          <w:vertAlign w:val="superscript"/>
        </w:rPr>
        <w:t>er</w:t>
      </w:r>
      <w:r>
        <w:t xml:space="preserve"> </w:t>
      </w:r>
      <w:r w:rsidRPr="003019EA">
        <w:t>avril 2020 susvisée, la date des visites et examens médicaux dont la liste suit, sauf s'il porte une appréciation contraire dans les conditions prévues à l'article 3 :</w:t>
      </w:r>
      <w:r w:rsidRPr="003019EA">
        <w:br/>
        <w:t>1° La visite d'information et de prévention initiale, prévue à l'</w:t>
      </w:r>
      <w:hyperlink r:id="rId10" w:tooltip="Code du travail - art. R4624-10 (V)" w:history="1">
        <w:r w:rsidRPr="003019EA">
          <w:t>article R. 4624-10 du code du travail</w:t>
        </w:r>
      </w:hyperlink>
      <w:r w:rsidRPr="003019EA">
        <w:t> et à l'</w:t>
      </w:r>
      <w:hyperlink r:id="rId11" w:tooltip="Code rural et de la pêche maritime - art. R717-13 (V)" w:history="1">
        <w:r w:rsidRPr="003019EA">
          <w:t>article R. 717-13 du code rural et de la pêche maritime</w:t>
        </w:r>
      </w:hyperlink>
      <w:r w:rsidRPr="003019EA">
        <w:t> ou l'examen médical préalable à la prise de fonction prévu à l'</w:t>
      </w:r>
      <w:hyperlink r:id="rId12" w:tooltip="Code du travail - art. R4626-22 (V)" w:history="1">
        <w:r w:rsidRPr="003019EA">
          <w:t>article R. 4626-22 du code du travail</w:t>
        </w:r>
      </w:hyperlink>
      <w:r w:rsidRPr="003019EA">
        <w:t>, à l'exception des visites et examens concernant les travailleurs mentionnés prévues au 1° du II du présent article ;</w:t>
      </w:r>
      <w:r w:rsidRPr="003019EA">
        <w:br/>
        <w:t>2° Le renouvellement de la visite d'information et de prévention prévu à l'</w:t>
      </w:r>
      <w:hyperlink r:id="rId13" w:tooltip="Code du travail - art. R4624-16 (V)" w:history="1">
        <w:r w:rsidRPr="003019EA">
          <w:t>article R. 4624-16 du code du travail</w:t>
        </w:r>
      </w:hyperlink>
      <w:r w:rsidRPr="003019EA">
        <w:t> et à l'</w:t>
      </w:r>
      <w:hyperlink r:id="rId14" w:tooltip="Code rural et de la pêche maritime - art. R717-14 (V)" w:history="1">
        <w:r w:rsidRPr="003019EA">
          <w:t>article R. 717-14 du code rural et de la pêche maritime</w:t>
        </w:r>
      </w:hyperlink>
      <w:r w:rsidRPr="003019EA">
        <w:t> ou l'examen médical biennal prévu à l'</w:t>
      </w:r>
      <w:hyperlink r:id="rId15" w:tooltip="Code du travail - art. R4626-26 (V)" w:history="1">
        <w:r w:rsidRPr="003019EA">
          <w:t>article R. 4626-26 du code du travail</w:t>
        </w:r>
      </w:hyperlink>
      <w:r w:rsidRPr="003019EA">
        <w:t> ;</w:t>
      </w:r>
      <w:r w:rsidRPr="003019EA">
        <w:br/>
        <w:t>3° Le renouvellement de l'examen d'aptitude et la visite intermédiaire, prévus à l'</w:t>
      </w:r>
      <w:hyperlink r:id="rId16" w:tooltip="Code du travail - art. R4624-28 (V)" w:history="1">
        <w:r w:rsidRPr="003019EA">
          <w:t>article R. 4624-28 du code du travail</w:t>
        </w:r>
      </w:hyperlink>
      <w:r w:rsidRPr="003019EA">
        <w:t> et à l'</w:t>
      </w:r>
      <w:hyperlink r:id="rId17" w:tooltip="Code rural et de la pêche maritime - art. R717-16-2 (V)" w:history="1">
        <w:r w:rsidRPr="003019EA">
          <w:t>article R. 717-16-2 du code rural et de la pêche maritime</w:t>
        </w:r>
      </w:hyperlink>
      <w:r w:rsidRPr="003019EA">
        <w:t>, à l'exception de celui mentionné au 3° du II du présent article.</w:t>
      </w:r>
      <w:r w:rsidRPr="003019EA">
        <w:br/>
        <w:t>II. - Ne peuvent faire l'objet d'aucun report au-delà de l'échéance prévue en application des articles mentionnés au présent II, les visites et examens médicaux dont la liste suit :</w:t>
      </w:r>
      <w:r w:rsidRPr="003019EA">
        <w:br/>
        <w:t>1° La visite d'information et de prévention initiale prévue à l'</w:t>
      </w:r>
      <w:hyperlink r:id="rId18" w:tooltip="Code du travail - art. R4624-10 (V)" w:history="1">
        <w:r w:rsidRPr="003019EA">
          <w:t>article R. 4624-10 du code du travail</w:t>
        </w:r>
      </w:hyperlink>
      <w:r w:rsidRPr="003019EA">
        <w:t> et à l'</w:t>
      </w:r>
      <w:hyperlink r:id="rId19" w:tooltip="Code rural et de la pêche maritime - art. R717-13 (V)" w:history="1">
        <w:r w:rsidRPr="003019EA">
          <w:t>article R. 717-13 du code rural et de la pêche maritime</w:t>
        </w:r>
      </w:hyperlink>
      <w:r w:rsidRPr="003019EA">
        <w:t xml:space="preserve"> ou l'examen médical préalable à la prise de </w:t>
      </w:r>
      <w:r w:rsidRPr="003019EA">
        <w:lastRenderedPageBreak/>
        <w:t>fonction prévu à l'</w:t>
      </w:r>
      <w:hyperlink r:id="rId20" w:tooltip="Code du travail - art. R4626-22 (V)" w:history="1">
        <w:r w:rsidRPr="003019EA">
          <w:t>article R. 4626-22 du code du travail</w:t>
        </w:r>
      </w:hyperlink>
      <w:r w:rsidRPr="003019EA">
        <w:t>, concernant :</w:t>
      </w:r>
      <w:r w:rsidRPr="003019EA">
        <w:br/>
        <w:t>a) Les travailleurs handicapés ;</w:t>
      </w:r>
      <w:r w:rsidRPr="003019EA">
        <w:br/>
        <w:t>b) Les travailleurs âgés de moins de dix-huit ans ;</w:t>
      </w:r>
      <w:r w:rsidRPr="003019EA">
        <w:br/>
        <w:t>c) Les travailleurs qui déclarent être titulaires d'une pension d'invalidité ;</w:t>
      </w:r>
      <w:r w:rsidRPr="003019EA">
        <w:br/>
        <w:t>d) Les femmes enceintes, venant d'accoucher ou allaitantes ;</w:t>
      </w:r>
      <w:r w:rsidRPr="003019EA">
        <w:br/>
        <w:t>e) Les travailleurs de nuit ;</w:t>
      </w:r>
      <w:r w:rsidRPr="003019EA">
        <w:br/>
        <w:t>f) Les travailleurs exposés à des champs électromagnétiques affectés à des postes pour lesquels les valeurs limites d'exposition fixées à l'</w:t>
      </w:r>
      <w:hyperlink r:id="rId21" w:tooltip="Code du travail - art. R4453-3 (V)" w:history="1">
        <w:r w:rsidRPr="003019EA">
          <w:t>article R. 4453-3 du code du travail</w:t>
        </w:r>
      </w:hyperlink>
      <w:r w:rsidRPr="003019EA">
        <w:t> sont dépassées ;</w:t>
      </w:r>
    </w:p>
    <w:p w14:paraId="303D3D8F" w14:textId="77777777" w:rsidR="003019EA" w:rsidRDefault="003019EA" w:rsidP="003019EA">
      <w:pPr>
        <w:shd w:val="clear" w:color="auto" w:fill="E7E6E6" w:themeFill="background2"/>
      </w:pPr>
      <w:r w:rsidRPr="003019EA">
        <w:t>g) Les travailleurs exposés à des agents biologiques de groupe 2 ;</w:t>
      </w:r>
    </w:p>
    <w:p w14:paraId="386F73F0" w14:textId="77777777" w:rsidR="003019EA" w:rsidRDefault="003019EA" w:rsidP="003019EA">
      <w:pPr>
        <w:shd w:val="clear" w:color="auto" w:fill="E7E6E6" w:themeFill="background2"/>
        <w:jc w:val="both"/>
      </w:pPr>
      <w:r w:rsidRPr="003019EA">
        <w:t>2° L'examen médical d'aptitude initial, prévu à l'</w:t>
      </w:r>
      <w:hyperlink r:id="rId22" w:tooltip="Code du travail - art. R4624-24 (V)" w:history="1">
        <w:r w:rsidRPr="003019EA">
          <w:t>article R. 4624-24 du code du travail</w:t>
        </w:r>
      </w:hyperlink>
      <w:r w:rsidRPr="003019EA">
        <w:t> et à l'</w:t>
      </w:r>
      <w:hyperlink r:id="rId23" w:tooltip="Code rural et de la pêche maritime - art. R717-16-1 (V)" w:history="1">
        <w:r w:rsidRPr="003019EA">
          <w:t>article R. 717-16-1 du code rural et de la pêche maritime</w:t>
        </w:r>
      </w:hyperlink>
      <w:r>
        <w:t> ;</w:t>
      </w:r>
    </w:p>
    <w:p w14:paraId="26BF81A0" w14:textId="77777777" w:rsidR="003019EA" w:rsidRPr="003019EA" w:rsidRDefault="003019EA" w:rsidP="003019EA">
      <w:pPr>
        <w:shd w:val="clear" w:color="auto" w:fill="E7E6E6" w:themeFill="background2"/>
        <w:jc w:val="both"/>
      </w:pPr>
      <w:r w:rsidRPr="003019EA">
        <w:t>3° Le renouvellement de l'examen d'aptitude pour les travailleurs exposés à des rayons ionisants classés en catégorie A en application de l'</w:t>
      </w:r>
      <w:hyperlink r:id="rId24" w:tooltip="Code du travail - art. R4451-57 (V)" w:history="1">
        <w:r w:rsidRPr="003019EA">
          <w:t>article R. 4451-57 du code du travail</w:t>
        </w:r>
      </w:hyperlink>
      <w:r w:rsidRPr="003019EA">
        <w:t>, prévu à l'article R. 4451-82 du même code.</w:t>
      </w:r>
    </w:p>
    <w:p w14:paraId="1BDC9CE3" w14:textId="77777777" w:rsidR="003019EA" w:rsidRDefault="003019EA" w:rsidP="003019EA">
      <w:pPr>
        <w:shd w:val="clear" w:color="auto" w:fill="E7E6E6" w:themeFill="background2"/>
        <w:jc w:val="both"/>
      </w:pPr>
    </w:p>
    <w:p w14:paraId="797B680F" w14:textId="77777777" w:rsidR="003019EA" w:rsidRPr="003019EA" w:rsidRDefault="00F04F2D" w:rsidP="003019EA">
      <w:pPr>
        <w:shd w:val="clear" w:color="auto" w:fill="E7E6E6" w:themeFill="background2"/>
        <w:jc w:val="both"/>
        <w:rPr>
          <w:b/>
        </w:rPr>
      </w:pPr>
      <w:hyperlink r:id="rId25" w:history="1">
        <w:r w:rsidR="003019EA" w:rsidRPr="003019EA">
          <w:rPr>
            <w:b/>
          </w:rPr>
          <w:t>Article 3</w:t>
        </w:r>
      </w:hyperlink>
    </w:p>
    <w:p w14:paraId="0E53FF1D" w14:textId="77777777" w:rsidR="003019EA" w:rsidRDefault="003019EA" w:rsidP="003019EA">
      <w:pPr>
        <w:shd w:val="clear" w:color="auto" w:fill="E7E6E6" w:themeFill="background2"/>
        <w:jc w:val="both"/>
      </w:pPr>
      <w:r w:rsidRPr="003019EA">
        <w:t>Aucune visite ni aucun examen ne peut faire l'objet d'un report en application du I de l'article 2, lorsque le médecin du travail estime indispensable de respecter l'échéance résultant des textes réglementaires en vigueur, au regard des informations dont il dispose concernant l'état de santé du salarié, ainsi que les risques liés à son poste de travail ou à ses conditions de travail. Pour les travailleurs titulaires d'un contrat à durée déterminée, le médecin du travail tient compte des visites et examens dont l'intéressé a bénéficié le cas échéant au cours des douze derniers mois.</w:t>
      </w:r>
    </w:p>
    <w:p w14:paraId="476EB228" w14:textId="77777777" w:rsidR="003019EA" w:rsidRPr="003019EA" w:rsidRDefault="003019EA" w:rsidP="003019EA">
      <w:pPr>
        <w:shd w:val="clear" w:color="auto" w:fill="E7E6E6" w:themeFill="background2"/>
        <w:jc w:val="both"/>
      </w:pPr>
      <w:r w:rsidRPr="003019EA">
        <w:t>Pour fonder son appréciation, le médecin du travail recueille, en tant que de besoin, les informations utiles sur la base d'échanges réalisés par tout moyen entre le travailleur et un membre de l'équipe pluridisciplinaire.</w:t>
      </w:r>
    </w:p>
    <w:p w14:paraId="7CB59254" w14:textId="77777777" w:rsidR="003019EA" w:rsidRDefault="003019EA" w:rsidP="003019EA">
      <w:pPr>
        <w:shd w:val="clear" w:color="auto" w:fill="E7E6E6" w:themeFill="background2"/>
        <w:jc w:val="both"/>
      </w:pPr>
    </w:p>
    <w:p w14:paraId="5CBB8CA3" w14:textId="77777777" w:rsidR="003019EA" w:rsidRPr="003019EA" w:rsidRDefault="00F04F2D" w:rsidP="003019EA">
      <w:pPr>
        <w:shd w:val="clear" w:color="auto" w:fill="E7E6E6" w:themeFill="background2"/>
        <w:jc w:val="both"/>
        <w:rPr>
          <w:b/>
        </w:rPr>
      </w:pPr>
      <w:hyperlink r:id="rId26" w:history="1">
        <w:r w:rsidR="003019EA" w:rsidRPr="003019EA">
          <w:rPr>
            <w:b/>
          </w:rPr>
          <w:t>Article 4</w:t>
        </w:r>
      </w:hyperlink>
    </w:p>
    <w:p w14:paraId="220F2741" w14:textId="77777777" w:rsidR="003019EA" w:rsidRPr="003019EA" w:rsidRDefault="003019EA" w:rsidP="003019EA">
      <w:pPr>
        <w:shd w:val="clear" w:color="auto" w:fill="E7E6E6" w:themeFill="background2"/>
        <w:jc w:val="both"/>
      </w:pPr>
      <w:r w:rsidRPr="003019EA">
        <w:t>Lorsque la visite médicale est reportée en application du I de l'article 2, le médecin du travail en informe l'employeur et le travailleur, en leur communiquant la date à laquelle la visite est reprogrammée. Dans le cas où le médecin du travail ne dispose pas des coordonnées du travailleur, il invite l'employeur à communiquer à ce dernier ces informations.</w:t>
      </w:r>
    </w:p>
    <w:p w14:paraId="3A619A84" w14:textId="77777777" w:rsidR="00AA4ABE" w:rsidRDefault="00AA4ABE" w:rsidP="003019EA">
      <w:pPr>
        <w:shd w:val="clear" w:color="auto" w:fill="E7E6E6" w:themeFill="background2"/>
        <w:jc w:val="both"/>
      </w:pPr>
    </w:p>
    <w:p w14:paraId="4D7192BE" w14:textId="77777777" w:rsidR="00470685" w:rsidRDefault="00470685" w:rsidP="00235B7F">
      <w:pPr>
        <w:jc w:val="both"/>
      </w:pPr>
    </w:p>
    <w:p w14:paraId="1917663B" w14:textId="77777777" w:rsidR="00AA4ABE" w:rsidRDefault="00AA4ABE" w:rsidP="00235B7F">
      <w:pPr>
        <w:jc w:val="both"/>
      </w:pPr>
    </w:p>
    <w:p w14:paraId="31B9ABCB" w14:textId="77777777" w:rsidR="00DC376A" w:rsidRDefault="00AA4ABE" w:rsidP="00DC376A">
      <w:pPr>
        <w:pStyle w:val="Paragraphedeliste"/>
        <w:numPr>
          <w:ilvl w:val="0"/>
          <w:numId w:val="7"/>
        </w:numPr>
        <w:shd w:val="clear" w:color="auto" w:fill="FFFFFF" w:themeFill="background1"/>
        <w:jc w:val="both"/>
        <w:rPr>
          <w:b/>
          <w:bCs/>
        </w:rPr>
      </w:pPr>
      <w:r>
        <w:rPr>
          <w:b/>
          <w:bCs/>
        </w:rPr>
        <w:t xml:space="preserve">Visites de </w:t>
      </w:r>
      <w:r w:rsidR="00DC376A" w:rsidRPr="00DC376A">
        <w:rPr>
          <w:b/>
          <w:bCs/>
        </w:rPr>
        <w:t>reprise</w:t>
      </w:r>
      <w:r>
        <w:rPr>
          <w:b/>
          <w:bCs/>
        </w:rPr>
        <w:t xml:space="preserve"> et de pré-reprise</w:t>
      </w:r>
      <w:r w:rsidR="00DC376A" w:rsidRPr="00DC376A">
        <w:rPr>
          <w:b/>
          <w:bCs/>
        </w:rPr>
        <w:t xml:space="preserve"> </w:t>
      </w:r>
      <w:r w:rsidR="003019EA">
        <w:rPr>
          <w:b/>
          <w:bCs/>
        </w:rPr>
        <w:t>confiée à</w:t>
      </w:r>
      <w:r w:rsidR="00DC376A" w:rsidRPr="00DC376A">
        <w:rPr>
          <w:b/>
          <w:bCs/>
        </w:rPr>
        <w:t xml:space="preserve"> un infirmier en santé au travail</w:t>
      </w:r>
    </w:p>
    <w:p w14:paraId="3B0053BA" w14:textId="77777777" w:rsidR="00DC376A" w:rsidRPr="00DC376A" w:rsidRDefault="00DC376A" w:rsidP="00DC376A">
      <w:pPr>
        <w:pStyle w:val="Paragraphedeliste"/>
        <w:shd w:val="clear" w:color="auto" w:fill="FFFFFF" w:themeFill="background1"/>
        <w:jc w:val="both"/>
        <w:rPr>
          <w:b/>
          <w:bCs/>
        </w:rPr>
      </w:pPr>
    </w:p>
    <w:p w14:paraId="1698DD44" w14:textId="77777777" w:rsidR="00DC376A" w:rsidRDefault="00DC376A" w:rsidP="00DC376A">
      <w:pPr>
        <w:shd w:val="clear" w:color="auto" w:fill="FFFFFF" w:themeFill="background1"/>
        <w:jc w:val="both"/>
        <w:rPr>
          <w:bCs/>
        </w:rPr>
      </w:pPr>
      <w:r w:rsidRPr="00DC376A">
        <w:rPr>
          <w:bCs/>
        </w:rPr>
        <w:t>La visite de pré</w:t>
      </w:r>
      <w:r>
        <w:rPr>
          <w:bCs/>
        </w:rPr>
        <w:t>-</w:t>
      </w:r>
      <w:r w:rsidRPr="00DC376A">
        <w:rPr>
          <w:bCs/>
        </w:rPr>
        <w:t xml:space="preserve">reprise </w:t>
      </w:r>
      <w:r>
        <w:rPr>
          <w:bCs/>
        </w:rPr>
        <w:t xml:space="preserve">et la visite de reprise </w:t>
      </w:r>
      <w:r w:rsidR="00C96751">
        <w:rPr>
          <w:bCs/>
        </w:rPr>
        <w:t xml:space="preserve">(sauf celles des travailleurs bénéficiant d’un suivi individuel renforcé) </w:t>
      </w:r>
      <w:r>
        <w:rPr>
          <w:bCs/>
        </w:rPr>
        <w:t>peuvent</w:t>
      </w:r>
      <w:r w:rsidRPr="00DC376A">
        <w:rPr>
          <w:bCs/>
        </w:rPr>
        <w:t xml:space="preserve"> être confiées à un infirmier en santé au travail</w:t>
      </w:r>
      <w:r w:rsidR="003019EA">
        <w:rPr>
          <w:bCs/>
        </w:rPr>
        <w:t xml:space="preserve"> sous la responsabilité du médecin du travail</w:t>
      </w:r>
      <w:r w:rsidRPr="00DC376A">
        <w:rPr>
          <w:bCs/>
        </w:rPr>
        <w:t xml:space="preserve">. Un protocole </w:t>
      </w:r>
      <w:r>
        <w:rPr>
          <w:bCs/>
        </w:rPr>
        <w:t>tel que mentionné à l’article R. 4623-14 du Code du travail, doit</w:t>
      </w:r>
      <w:r w:rsidRPr="00DC376A">
        <w:rPr>
          <w:bCs/>
        </w:rPr>
        <w:t xml:space="preserve"> définir les conditions </w:t>
      </w:r>
      <w:r w:rsidR="003019EA">
        <w:rPr>
          <w:bCs/>
        </w:rPr>
        <w:t>de réalisation des examens.</w:t>
      </w:r>
    </w:p>
    <w:p w14:paraId="016D3341" w14:textId="77777777" w:rsidR="00204851" w:rsidRDefault="00204851" w:rsidP="00DC376A">
      <w:pPr>
        <w:shd w:val="clear" w:color="auto" w:fill="FFFFFF" w:themeFill="background1"/>
        <w:jc w:val="both"/>
        <w:rPr>
          <w:bCs/>
        </w:rPr>
      </w:pPr>
    </w:p>
    <w:p w14:paraId="5553E4E8" w14:textId="77777777" w:rsidR="00204851" w:rsidRPr="00AF7869" w:rsidRDefault="00204851" w:rsidP="00AF7869">
      <w:pPr>
        <w:shd w:val="clear" w:color="auto" w:fill="FFFFFF"/>
        <w:jc w:val="both"/>
        <w:rPr>
          <w:rFonts w:ascii="Calibri" w:eastAsia="Calibri" w:hAnsi="Calibri" w:cs="Times New Roman"/>
          <w:bCs/>
        </w:rPr>
      </w:pPr>
      <w:r w:rsidRPr="00AF7869">
        <w:rPr>
          <w:rFonts w:ascii="Calibri" w:eastAsia="Calibri" w:hAnsi="Calibri" w:cs="Times New Roman"/>
          <w:bCs/>
        </w:rPr>
        <w:t>On rappellera à ce titre que la responsabilité dont il s’agit ici est celle qui organise les compétences en présence. Il ne s’agit pas d’une modification des règles de responsabilité civile.</w:t>
      </w:r>
      <w:r w:rsidRPr="00AF7869">
        <w:rPr>
          <w:rFonts w:ascii="Calibri" w:eastAsia="Calibri" w:hAnsi="Calibri" w:cs="Times New Roman"/>
          <w:bCs/>
        </w:rPr>
        <w:br/>
        <w:t>En effet, un infirmier peut réaliser des actes dits propres ou des actes sur conseil médical.</w:t>
      </w:r>
    </w:p>
    <w:p w14:paraId="0E817D24" w14:textId="77777777" w:rsidR="00204851" w:rsidRPr="00AF7869" w:rsidRDefault="00204851" w:rsidP="00AF7869">
      <w:pPr>
        <w:shd w:val="clear" w:color="auto" w:fill="FFFFFF"/>
        <w:jc w:val="both"/>
        <w:rPr>
          <w:rFonts w:ascii="Calibri" w:eastAsia="Calibri" w:hAnsi="Calibri" w:cs="Times New Roman"/>
          <w:bCs/>
        </w:rPr>
      </w:pPr>
      <w:r w:rsidRPr="00AF7869">
        <w:rPr>
          <w:rFonts w:ascii="Calibri" w:eastAsia="Calibri" w:hAnsi="Calibri" w:cs="Times New Roman"/>
          <w:bCs/>
        </w:rPr>
        <w:t>Les visites précitées rentrent dans cette seconde catégorie.</w:t>
      </w:r>
    </w:p>
    <w:p w14:paraId="18AA7964" w14:textId="77777777" w:rsidR="00204851" w:rsidRPr="00AF7869" w:rsidRDefault="00204851" w:rsidP="00AF7869">
      <w:pPr>
        <w:shd w:val="clear" w:color="auto" w:fill="FFFFFF"/>
        <w:jc w:val="both"/>
        <w:rPr>
          <w:rFonts w:ascii="Calibri" w:eastAsia="Calibri" w:hAnsi="Calibri" w:cs="Times New Roman"/>
          <w:bCs/>
        </w:rPr>
      </w:pPr>
      <w:r w:rsidRPr="00AF7869">
        <w:rPr>
          <w:rFonts w:ascii="Calibri" w:eastAsia="Calibri" w:hAnsi="Calibri" w:cs="Times New Roman"/>
          <w:bCs/>
        </w:rPr>
        <w:t>En conséquence, le protocole est un acte médical mais la réalisation de la visite est un acte infirmier.</w:t>
      </w:r>
    </w:p>
    <w:p w14:paraId="5EFFA45A" w14:textId="77777777" w:rsidR="00204851" w:rsidRPr="00AF7869" w:rsidRDefault="00204851" w:rsidP="00AF7869">
      <w:pPr>
        <w:shd w:val="clear" w:color="auto" w:fill="FFFFFF"/>
        <w:jc w:val="both"/>
        <w:rPr>
          <w:rFonts w:ascii="Calibri" w:eastAsia="Calibri" w:hAnsi="Calibri" w:cs="Times New Roman"/>
          <w:bCs/>
        </w:rPr>
      </w:pPr>
      <w:r w:rsidRPr="00AF7869">
        <w:rPr>
          <w:rFonts w:ascii="Calibri" w:eastAsia="Calibri" w:hAnsi="Calibri" w:cs="Times New Roman"/>
          <w:bCs/>
        </w:rPr>
        <w:t>L’infirmier comme le médecin étant salarié du service, ils bénéficient dès lors tous deux de l’immunité civile en cas de dommages qui résulteraient de l’exercice de leur mission (lesquels seraient garantis par l’assurance du Service).</w:t>
      </w:r>
    </w:p>
    <w:p w14:paraId="10510549" w14:textId="77777777" w:rsidR="00204851" w:rsidRDefault="00204851" w:rsidP="00DC376A">
      <w:pPr>
        <w:shd w:val="clear" w:color="auto" w:fill="FFFFFF" w:themeFill="background1"/>
        <w:jc w:val="both"/>
        <w:rPr>
          <w:bCs/>
        </w:rPr>
      </w:pPr>
    </w:p>
    <w:p w14:paraId="0F448D46" w14:textId="24595526" w:rsidR="003019EA" w:rsidRDefault="00844408" w:rsidP="00DC376A">
      <w:pPr>
        <w:shd w:val="clear" w:color="auto" w:fill="FFFFFF" w:themeFill="background1"/>
        <w:jc w:val="both"/>
        <w:rPr>
          <w:bCs/>
        </w:rPr>
      </w:pPr>
      <w:r>
        <w:rPr>
          <w:bCs/>
        </w:rPr>
        <w:t>Ainsi, p</w:t>
      </w:r>
      <w:r w:rsidR="003019EA">
        <w:rPr>
          <w:bCs/>
        </w:rPr>
        <w:t>our les visites confiées, l’infirmier en santé au travail peut, dans les conditions définies par le protocole, délivrer aux travailleurs les documents réglementaire</w:t>
      </w:r>
      <w:r w:rsidR="00FA6CF1">
        <w:rPr>
          <w:bCs/>
        </w:rPr>
        <w:t xml:space="preserve">ment </w:t>
      </w:r>
      <w:r w:rsidR="003019EA">
        <w:rPr>
          <w:bCs/>
        </w:rPr>
        <w:t xml:space="preserve">obligatoires. </w:t>
      </w:r>
    </w:p>
    <w:p w14:paraId="53EC8268" w14:textId="77777777" w:rsidR="00C96751" w:rsidRDefault="00C96751" w:rsidP="00DC376A">
      <w:pPr>
        <w:shd w:val="clear" w:color="auto" w:fill="FFFFFF" w:themeFill="background1"/>
        <w:jc w:val="both"/>
        <w:rPr>
          <w:bCs/>
        </w:rPr>
      </w:pPr>
    </w:p>
    <w:p w14:paraId="3353B0AA" w14:textId="77777777" w:rsidR="003019EA" w:rsidRDefault="003019EA" w:rsidP="00DC376A">
      <w:pPr>
        <w:shd w:val="clear" w:color="auto" w:fill="FFFFFF" w:themeFill="background1"/>
        <w:jc w:val="both"/>
        <w:rPr>
          <w:bCs/>
        </w:rPr>
      </w:pPr>
      <w:r>
        <w:rPr>
          <w:bCs/>
        </w:rPr>
        <w:t>En revanche, l’infirmier en santé au travail ne peut pas délivrer d’avis d’inaptitude.</w:t>
      </w:r>
    </w:p>
    <w:p w14:paraId="2CAD3E47" w14:textId="77777777" w:rsidR="00C96751" w:rsidRDefault="00C96751" w:rsidP="00DC376A">
      <w:pPr>
        <w:shd w:val="clear" w:color="auto" w:fill="FFFFFF" w:themeFill="background1"/>
        <w:jc w:val="both"/>
        <w:rPr>
          <w:bCs/>
        </w:rPr>
      </w:pPr>
    </w:p>
    <w:p w14:paraId="0D3AFF70" w14:textId="764FD5FA" w:rsidR="00C96751" w:rsidRPr="00294278" w:rsidRDefault="00821189" w:rsidP="00DC376A">
      <w:pPr>
        <w:shd w:val="clear" w:color="auto" w:fill="FFFFFF" w:themeFill="background1"/>
        <w:jc w:val="both"/>
        <w:rPr>
          <w:bCs/>
        </w:rPr>
      </w:pPr>
      <w:r w:rsidRPr="00294278">
        <w:rPr>
          <w:bCs/>
        </w:rPr>
        <w:t>Au regard de ce décret, l’infirmier</w:t>
      </w:r>
      <w:r w:rsidR="003019EA" w:rsidRPr="00294278">
        <w:rPr>
          <w:bCs/>
        </w:rPr>
        <w:t xml:space="preserve"> peut </w:t>
      </w:r>
      <w:r w:rsidR="00AF7869" w:rsidRPr="00294278">
        <w:rPr>
          <w:bCs/>
        </w:rPr>
        <w:t xml:space="preserve">proposer au médecin du travail : </w:t>
      </w:r>
    </w:p>
    <w:p w14:paraId="2B6636C4" w14:textId="77777777" w:rsidR="00C96751" w:rsidRPr="00294278" w:rsidRDefault="003019EA" w:rsidP="00C96751">
      <w:pPr>
        <w:pStyle w:val="Paragraphedeliste"/>
        <w:numPr>
          <w:ilvl w:val="0"/>
          <w:numId w:val="11"/>
        </w:numPr>
        <w:shd w:val="clear" w:color="auto" w:fill="FFFFFF" w:themeFill="background1"/>
        <w:jc w:val="both"/>
        <w:rPr>
          <w:bCs/>
        </w:rPr>
      </w:pPr>
      <w:r w:rsidRPr="00294278">
        <w:rPr>
          <w:bCs/>
        </w:rPr>
        <w:t xml:space="preserve"> </w:t>
      </w:r>
      <w:r w:rsidR="00821189" w:rsidRPr="00294278">
        <w:rPr>
          <w:bCs/>
        </w:rPr>
        <w:t xml:space="preserve">des </w:t>
      </w:r>
      <w:r w:rsidR="00C96751" w:rsidRPr="00294278">
        <w:rPr>
          <w:bCs/>
        </w:rPr>
        <w:t>préconisations relatives à l’</w:t>
      </w:r>
      <w:r w:rsidR="00C96751" w:rsidRPr="00294278">
        <w:t xml:space="preserve">aménagement, </w:t>
      </w:r>
      <w:r w:rsidR="00905338" w:rsidRPr="00294278">
        <w:t>à l’adaptation du pos</w:t>
      </w:r>
      <w:r w:rsidR="00905338">
        <w:t xml:space="preserve">te </w:t>
      </w:r>
      <w:r w:rsidR="00905338" w:rsidRPr="00294278">
        <w:t>ou au r</w:t>
      </w:r>
      <w:r w:rsidR="00C96751" w:rsidRPr="00294278">
        <w:t>eclassement du travailleur</w:t>
      </w:r>
      <w:r w:rsidR="00905338" w:rsidRPr="00294278">
        <w:t xml:space="preserve"> concerné</w:t>
      </w:r>
      <w:r w:rsidR="00C96751" w:rsidRPr="00294278">
        <w:t xml:space="preserve"> dans le cadre des visites de reprise</w:t>
      </w:r>
    </w:p>
    <w:p w14:paraId="0B4FD732" w14:textId="77777777" w:rsidR="00C96751" w:rsidRPr="00C96751" w:rsidRDefault="003019EA" w:rsidP="00C96751">
      <w:pPr>
        <w:pStyle w:val="Paragraphedeliste"/>
        <w:numPr>
          <w:ilvl w:val="0"/>
          <w:numId w:val="11"/>
        </w:numPr>
        <w:shd w:val="clear" w:color="auto" w:fill="FFFFFF" w:themeFill="background1"/>
        <w:jc w:val="both"/>
        <w:rPr>
          <w:bCs/>
        </w:rPr>
      </w:pPr>
      <w:r w:rsidRPr="00C96751">
        <w:rPr>
          <w:bCs/>
        </w:rPr>
        <w:t>et/</w:t>
      </w:r>
      <w:r w:rsidR="00C96751" w:rsidRPr="00C96751">
        <w:rPr>
          <w:bCs/>
        </w:rPr>
        <w:t>ou de</w:t>
      </w:r>
      <w:r w:rsidR="00821189">
        <w:rPr>
          <w:bCs/>
        </w:rPr>
        <w:t>s</w:t>
      </w:r>
      <w:r w:rsidR="00C96751" w:rsidRPr="00C96751">
        <w:rPr>
          <w:bCs/>
        </w:rPr>
        <w:t xml:space="preserve"> recommandations</w:t>
      </w:r>
      <w:r w:rsidR="00C96751">
        <w:rPr>
          <w:bCs/>
        </w:rPr>
        <w:t xml:space="preserve"> relatives aux </w:t>
      </w:r>
      <w:r w:rsidR="00C96751" w:rsidRPr="00C96751">
        <w:t xml:space="preserve">aménagements </w:t>
      </w:r>
      <w:r w:rsidR="00C96751" w:rsidRPr="00294278">
        <w:t xml:space="preserve">et </w:t>
      </w:r>
      <w:r w:rsidR="00905338" w:rsidRPr="00294278">
        <w:t>à l’</w:t>
      </w:r>
      <w:r w:rsidR="00C96751" w:rsidRPr="00294278">
        <w:t xml:space="preserve">adaptations </w:t>
      </w:r>
      <w:r w:rsidR="00C96751">
        <w:t>du poste de travail, d</w:t>
      </w:r>
      <w:r w:rsidR="00C96751" w:rsidRPr="00C96751">
        <w:t>es</w:t>
      </w:r>
      <w:r w:rsidR="00C96751">
        <w:t xml:space="preserve"> préconisations de reclassement, d</w:t>
      </w:r>
      <w:r w:rsidR="00C96751" w:rsidRPr="00C96751">
        <w:t>es formations professionnelles à organiser en vue de faciliter le reclassement du travailleur ou sa réorientation professionnelle</w:t>
      </w:r>
      <w:r w:rsidR="00C96751">
        <w:t xml:space="preserve"> dans le cadre des visites de pré-reprise</w:t>
      </w:r>
      <w:r w:rsidR="00905338">
        <w:t>.</w:t>
      </w:r>
    </w:p>
    <w:p w14:paraId="10FF526A" w14:textId="77777777" w:rsidR="00905338" w:rsidRDefault="00905338" w:rsidP="00C96751">
      <w:pPr>
        <w:shd w:val="clear" w:color="auto" w:fill="FFFFFF" w:themeFill="background1"/>
        <w:jc w:val="both"/>
        <w:rPr>
          <w:bCs/>
        </w:rPr>
      </w:pPr>
    </w:p>
    <w:p w14:paraId="2E09574B" w14:textId="54ACD864" w:rsidR="003019EA" w:rsidRPr="00294278" w:rsidRDefault="00905338" w:rsidP="00C96751">
      <w:pPr>
        <w:shd w:val="clear" w:color="auto" w:fill="FFFFFF" w:themeFill="background1"/>
        <w:jc w:val="both"/>
        <w:rPr>
          <w:bCs/>
        </w:rPr>
      </w:pPr>
      <w:r>
        <w:rPr>
          <w:bCs/>
        </w:rPr>
        <w:t>M</w:t>
      </w:r>
      <w:r w:rsidR="00C96751" w:rsidRPr="00C96751">
        <w:rPr>
          <w:bCs/>
        </w:rPr>
        <w:t>ais</w:t>
      </w:r>
      <w:r w:rsidR="00C96751">
        <w:rPr>
          <w:bCs/>
        </w:rPr>
        <w:t>, dans ces deux cas,</w:t>
      </w:r>
      <w:r w:rsidR="00C96751" w:rsidRPr="00C96751">
        <w:rPr>
          <w:bCs/>
        </w:rPr>
        <w:t xml:space="preserve"> </w:t>
      </w:r>
      <w:r w:rsidR="00821189" w:rsidRPr="00294278">
        <w:rPr>
          <w:bCs/>
        </w:rPr>
        <w:t xml:space="preserve">il appartient au </w:t>
      </w:r>
      <w:r w:rsidR="00C96751" w:rsidRPr="00C96751">
        <w:rPr>
          <w:b/>
          <w:bCs/>
        </w:rPr>
        <w:t>seul</w:t>
      </w:r>
      <w:r w:rsidR="003019EA" w:rsidRPr="00C96751">
        <w:rPr>
          <w:b/>
          <w:bCs/>
        </w:rPr>
        <w:t xml:space="preserve"> le médecin du travail </w:t>
      </w:r>
      <w:r w:rsidR="00821189" w:rsidRPr="00294278">
        <w:rPr>
          <w:bCs/>
        </w:rPr>
        <w:t xml:space="preserve">d’émettre les </w:t>
      </w:r>
      <w:r w:rsidRPr="00294278">
        <w:rPr>
          <w:bCs/>
        </w:rPr>
        <w:t xml:space="preserve">préconisations et ou les </w:t>
      </w:r>
      <w:r w:rsidR="00821189" w:rsidRPr="00294278">
        <w:rPr>
          <w:bCs/>
        </w:rPr>
        <w:t xml:space="preserve">recommandations visées, et les avis d’inaptitude. </w:t>
      </w:r>
    </w:p>
    <w:p w14:paraId="3766A739" w14:textId="77777777" w:rsidR="00FA6CF1" w:rsidRPr="00821189" w:rsidRDefault="00FA6CF1" w:rsidP="00DC376A">
      <w:pPr>
        <w:shd w:val="clear" w:color="auto" w:fill="FFFFFF" w:themeFill="background1"/>
        <w:jc w:val="both"/>
        <w:rPr>
          <w:color w:val="FF0000"/>
        </w:rPr>
      </w:pPr>
    </w:p>
    <w:p w14:paraId="7829FA6A" w14:textId="77777777" w:rsidR="00074BD5" w:rsidRPr="00DC376A" w:rsidRDefault="00FA6CF1" w:rsidP="00DC376A">
      <w:pPr>
        <w:shd w:val="clear" w:color="auto" w:fill="FFFFFF" w:themeFill="background1"/>
        <w:jc w:val="both"/>
        <w:rPr>
          <w:bCs/>
        </w:rPr>
      </w:pPr>
      <w:r w:rsidRPr="003019EA">
        <w:t>Lorsqu'il l'estime nécessaire</w:t>
      </w:r>
      <w:r w:rsidR="00821189">
        <w:t>,</w:t>
      </w:r>
      <w:r w:rsidRPr="003019EA">
        <w:t xml:space="preserve"> pour tout motif, </w:t>
      </w:r>
      <w:r>
        <w:t xml:space="preserve">et </w:t>
      </w:r>
      <w:r w:rsidRPr="003019EA">
        <w:t xml:space="preserve">notamment </w:t>
      </w:r>
      <w:r>
        <w:t>si une procédure d’inaptitude est à envisager</w:t>
      </w:r>
      <w:r w:rsidRPr="003019EA">
        <w:t>, l'infirmier oriente le travailleur vers le médecin du travail qui réalise alors sans délai la visite de pré</w:t>
      </w:r>
      <w:r w:rsidR="00821189">
        <w:t>-</w:t>
      </w:r>
      <w:r w:rsidRPr="003019EA">
        <w:t>reprise ou de reprise</w:t>
      </w:r>
      <w:r>
        <w:t>.</w:t>
      </w:r>
    </w:p>
    <w:p w14:paraId="7D78A3FF" w14:textId="77777777" w:rsidR="00DC376A" w:rsidRPr="00DC376A" w:rsidRDefault="00DC376A" w:rsidP="00DC376A">
      <w:pPr>
        <w:shd w:val="clear" w:color="auto" w:fill="FFFFFF" w:themeFill="background1"/>
        <w:jc w:val="both"/>
        <w:rPr>
          <w:bCs/>
        </w:rPr>
      </w:pPr>
    </w:p>
    <w:p w14:paraId="183878A2" w14:textId="77777777" w:rsidR="003019EA" w:rsidRPr="003019EA" w:rsidRDefault="00F04F2D" w:rsidP="003019EA">
      <w:pPr>
        <w:shd w:val="clear" w:color="auto" w:fill="E7E6E6" w:themeFill="background2"/>
        <w:rPr>
          <w:b/>
        </w:rPr>
      </w:pPr>
      <w:hyperlink r:id="rId27" w:history="1">
        <w:r w:rsidR="003019EA" w:rsidRPr="003019EA">
          <w:rPr>
            <w:b/>
          </w:rPr>
          <w:t>Article 5</w:t>
        </w:r>
      </w:hyperlink>
    </w:p>
    <w:p w14:paraId="4978903B" w14:textId="77777777" w:rsidR="003019EA" w:rsidRDefault="003019EA" w:rsidP="003019EA">
      <w:pPr>
        <w:shd w:val="clear" w:color="auto" w:fill="E7E6E6" w:themeFill="background2"/>
      </w:pPr>
      <w:r w:rsidRPr="003019EA">
        <w:br/>
        <w:t>I. - A titre exceptionnel jusqu'au 16 avril 2021 et par dérogation aux règles fixées aux articles mentionnés aux 1° et 2° du présent I, le médecin du travail peut confier sous sa responsabilité à un infirmier en santé au travail, selon des modalités définies par un protocole établi dans les conditions et les limites prévues respectivement aux articles R. 4623-14 et R. 4626-13 du code du travail ou à l'</w:t>
      </w:r>
      <w:hyperlink r:id="rId28" w:tooltip="Code rural et de la pêche maritime - art. R717-52-3 (V)" w:history="1">
        <w:r w:rsidRPr="003019EA">
          <w:t>article R. 717-52-3 du code rural et de la pêche maritime</w:t>
        </w:r>
      </w:hyperlink>
      <w:r w:rsidRPr="003019EA">
        <w:t>, et sous les réserves prévues aux II et III du présent article :</w:t>
      </w:r>
    </w:p>
    <w:p w14:paraId="3141F5CF" w14:textId="77777777" w:rsidR="003019EA" w:rsidRDefault="003019EA" w:rsidP="003019EA">
      <w:pPr>
        <w:shd w:val="clear" w:color="auto" w:fill="E7E6E6" w:themeFill="background2"/>
      </w:pPr>
      <w:r w:rsidRPr="003019EA">
        <w:t>1° La visite de pré</w:t>
      </w:r>
      <w:r w:rsidR="00821189">
        <w:t>-</w:t>
      </w:r>
      <w:r w:rsidRPr="003019EA">
        <w:t>reprise prévue aux article R. 4624-29 et </w:t>
      </w:r>
      <w:hyperlink r:id="rId29" w:tooltip="Code du travail - art. R4626-29-1 (V)" w:history="1">
        <w:r w:rsidRPr="003019EA">
          <w:t>R. 4626-29-1</w:t>
        </w:r>
      </w:hyperlink>
      <w:r w:rsidRPr="003019EA">
        <w:t> du code du travail ou à l'</w:t>
      </w:r>
      <w:hyperlink r:id="rId30" w:tooltip="Code rural et de la pêche maritime - art. R717-17 (V)" w:history="1">
        <w:r w:rsidRPr="003019EA">
          <w:t>article R. 717-17 du code rural et de la pêche maritime</w:t>
        </w:r>
      </w:hyperlink>
      <w:r w:rsidRPr="003019EA">
        <w:t> ;</w:t>
      </w:r>
      <w:r w:rsidRPr="003019EA">
        <w:br/>
        <w:t>2° La visite de reprise prévue à l'article R. 4624-31 du code du travail ou à l'article R. 717-17-1 du code rural et de la pêche maritime, sauf pour les travailleurs faisant l'objet d'un suivi individuel renforcé en application de l'</w:t>
      </w:r>
      <w:hyperlink r:id="rId31" w:tooltip="Code du travail - art. R4624-22 (V)" w:history="1">
        <w:r w:rsidRPr="003019EA">
          <w:t>article R. 4624-22 du code du travail</w:t>
        </w:r>
      </w:hyperlink>
      <w:r w:rsidRPr="003019EA">
        <w:t> ou de l'article R. 717-16 du code rural et de la pêche maritime.</w:t>
      </w:r>
    </w:p>
    <w:p w14:paraId="4A7FDFE3" w14:textId="77777777" w:rsidR="003019EA" w:rsidRDefault="003019EA" w:rsidP="003019EA">
      <w:pPr>
        <w:shd w:val="clear" w:color="auto" w:fill="E7E6E6" w:themeFill="background2"/>
      </w:pPr>
      <w:r w:rsidRPr="003019EA">
        <w:br/>
        <w:t>II. - Ne peuvent être émis que par le médecin du travail :</w:t>
      </w:r>
      <w:r w:rsidRPr="003019EA">
        <w:br/>
        <w:t>1° Le cas échéant sur proposition de l'infirmier, les recommandations mentionnées à l'</w:t>
      </w:r>
      <w:hyperlink r:id="rId32" w:tooltip="Code du travail - art. R4624-30 (V)" w:history="1">
        <w:r w:rsidRPr="003019EA">
          <w:t>article R. 4624-30 du code du travail</w:t>
        </w:r>
      </w:hyperlink>
      <w:r w:rsidRPr="003019EA">
        <w:t> et à l'article R. 717-17 du code rural et de la pêche maritime et les préconisations mentionnées au </w:t>
      </w:r>
      <w:hyperlink r:id="rId33" w:tooltip="Code du travail - art. R4624-32 (V)" w:history="1">
        <w:r w:rsidRPr="003019EA">
          <w:t>3° de l'article R. 4624-32 du code du travail</w:t>
        </w:r>
      </w:hyperlink>
      <w:r w:rsidRPr="003019EA">
        <w:t> et au c du 2° de l'article R. 717-17-1 du code rural et de la pêche maritime ;</w:t>
      </w:r>
      <w:r w:rsidRPr="003019EA">
        <w:br/>
        <w:t>2° L'avis d'inaptitude mentionné au 4° de l'article R. 4624-32 du code du travail et au </w:t>
      </w:r>
      <w:hyperlink r:id="rId34" w:tooltip="Code rural et de la pêche maritime - art. R717-17-1 (V)" w:history="1">
        <w:r w:rsidRPr="003019EA">
          <w:t>d du 2° de l'article R. 717-17-1 du code rural et de la pêche maritime</w:t>
        </w:r>
      </w:hyperlink>
      <w:r w:rsidRPr="003019EA">
        <w:t>.</w:t>
      </w:r>
    </w:p>
    <w:p w14:paraId="26BCF191" w14:textId="77777777" w:rsidR="003019EA" w:rsidRPr="003019EA" w:rsidRDefault="003019EA" w:rsidP="003019EA">
      <w:pPr>
        <w:shd w:val="clear" w:color="auto" w:fill="E7E6E6" w:themeFill="background2"/>
      </w:pPr>
      <w:r w:rsidRPr="003019EA">
        <w:br/>
        <w:t>III. - Lorsqu'il l'estime nécessaire pour tout motif, notamment pour l'application du 2° du II, l'infirmier oriente le travailleur vers le médecin du travail qui réalise alors sans délai la visite de pré</w:t>
      </w:r>
      <w:r w:rsidR="00821189">
        <w:t>-</w:t>
      </w:r>
      <w:r w:rsidRPr="003019EA">
        <w:t>reprise ou de reprise</w:t>
      </w:r>
    </w:p>
    <w:p w14:paraId="398C02F2" w14:textId="77777777" w:rsidR="00470685" w:rsidRDefault="00470685" w:rsidP="003019EA">
      <w:pPr>
        <w:shd w:val="clear" w:color="auto" w:fill="E7E6E6" w:themeFill="background2"/>
      </w:pPr>
    </w:p>
    <w:p w14:paraId="4B59CB64" w14:textId="77777777" w:rsidR="00470685" w:rsidRDefault="00470685" w:rsidP="00DC376A">
      <w:pPr>
        <w:shd w:val="clear" w:color="auto" w:fill="FFFFFF" w:themeFill="background1"/>
        <w:jc w:val="both"/>
      </w:pPr>
    </w:p>
    <w:p w14:paraId="4EDC8E20" w14:textId="77777777" w:rsidR="00470685" w:rsidRDefault="00470685" w:rsidP="00235B7F">
      <w:pPr>
        <w:jc w:val="both"/>
      </w:pPr>
    </w:p>
    <w:p w14:paraId="7E453072" w14:textId="77777777" w:rsidR="00C96751" w:rsidRPr="00C96751" w:rsidRDefault="00F04F2D" w:rsidP="00C96751">
      <w:pPr>
        <w:shd w:val="clear" w:color="auto" w:fill="E7E6E6" w:themeFill="background2"/>
      </w:pPr>
      <w:hyperlink r:id="rId35" w:history="1">
        <w:r w:rsidR="00C96751" w:rsidRPr="00C96751">
          <w:t>Article R4624-30</w:t>
        </w:r>
      </w:hyperlink>
    </w:p>
    <w:p w14:paraId="3F6088EA" w14:textId="77777777" w:rsidR="00C96751" w:rsidRPr="00C96751" w:rsidRDefault="00C96751" w:rsidP="00C96751">
      <w:pPr>
        <w:shd w:val="clear" w:color="auto" w:fill="E7E6E6" w:themeFill="background2"/>
      </w:pPr>
      <w:r w:rsidRPr="00C96751">
        <w:t>Au cours de l'examen de pré</w:t>
      </w:r>
      <w:r w:rsidR="00905338">
        <w:t>-</w:t>
      </w:r>
      <w:r w:rsidRPr="00C96751">
        <w:t>reprise, le médecin du travail peut recommander :</w:t>
      </w:r>
      <w:r w:rsidRPr="00C96751">
        <w:br/>
        <w:t>1° Des aménagements et adaptations du poste de travail ;</w:t>
      </w:r>
      <w:r w:rsidRPr="00C96751">
        <w:br/>
        <w:t>2° Des préconisations de reclassement ;</w:t>
      </w:r>
      <w:r w:rsidRPr="00C96751">
        <w:br/>
        <w:t>3° Des formations professionnelles à organiser en vue de faciliter le reclassement du travailleur ou sa réorientation professionnelle.</w:t>
      </w:r>
      <w:r w:rsidRPr="00C96751">
        <w:br/>
        <w:t>A cet effet, il s'appuie en tant que de besoin sur le service social du travail du service de santé au travail interentreprises ou sur celui de l'entreprise.</w:t>
      </w:r>
      <w:r w:rsidRPr="00C96751">
        <w:br/>
        <w:t>Il informe, sauf si le travailleur s'y oppose, l'employeur et le médecin conseil de ces recommandations afin que toutes les mesures soient mises en œuvre en vue de favoriser le maintien dans l'emploi du travailleur.</w:t>
      </w:r>
    </w:p>
    <w:p w14:paraId="75714A74" w14:textId="77777777" w:rsidR="00C96751" w:rsidRDefault="00C96751" w:rsidP="00C96751">
      <w:pPr>
        <w:shd w:val="clear" w:color="auto" w:fill="E7E6E6" w:themeFill="background2"/>
      </w:pPr>
    </w:p>
    <w:p w14:paraId="16422EFE" w14:textId="77777777" w:rsidR="00C96751" w:rsidRPr="00C96751" w:rsidRDefault="00F04F2D" w:rsidP="00C96751">
      <w:pPr>
        <w:shd w:val="clear" w:color="auto" w:fill="E7E6E6" w:themeFill="background2"/>
      </w:pPr>
      <w:hyperlink r:id="rId36" w:history="1">
        <w:r w:rsidR="00C96751" w:rsidRPr="00C96751">
          <w:t>Article R4624-32</w:t>
        </w:r>
      </w:hyperlink>
    </w:p>
    <w:p w14:paraId="04117AA7" w14:textId="5E0C3882" w:rsidR="00C96751" w:rsidRPr="00C96751" w:rsidRDefault="00C96751" w:rsidP="00C96751">
      <w:pPr>
        <w:shd w:val="clear" w:color="auto" w:fill="E7E6E6" w:themeFill="background2"/>
      </w:pPr>
      <w:r w:rsidRPr="00C96751">
        <w:t>L'examen de reprise a pour objet :</w:t>
      </w:r>
      <w:r w:rsidRPr="00C96751">
        <w:br/>
        <w:t>1° De vérifier si le poste de travail que doit reprendre le travailleur ou le poste de reclassement auquel il doit être affecté est compatible avec son état de santé ;</w:t>
      </w:r>
      <w:r w:rsidRPr="00C96751">
        <w:br/>
        <w:t>2° D'examiner les propositions d'aménagement ou d'adaptation du poste repris par le travailleur ou de reclassement faites par l'employeur à la suite des préconisations émises le cas échéant par le médecin du travail lors de la visite de pré</w:t>
      </w:r>
      <w:r w:rsidR="00EC4795">
        <w:t>-</w:t>
      </w:r>
      <w:r w:rsidRPr="00C96751">
        <w:t>reprise ;</w:t>
      </w:r>
      <w:r w:rsidRPr="00C96751">
        <w:br/>
      </w:r>
      <w:r w:rsidRPr="00C96751">
        <w:rPr>
          <w:b/>
        </w:rPr>
        <w:t>3° De préconiser l'aménagement, l'adaptation du poste ou le reclassement du travailleur</w:t>
      </w:r>
      <w:r w:rsidRPr="00C96751">
        <w:t xml:space="preserve"> ;</w:t>
      </w:r>
      <w:r w:rsidRPr="00C96751">
        <w:br/>
        <w:t>4° D'émettre, le cas échéant, un avis d'inaptitude.</w:t>
      </w:r>
    </w:p>
    <w:p w14:paraId="2D9B0ADF" w14:textId="77777777" w:rsidR="00074BD5" w:rsidRDefault="00074BD5" w:rsidP="00235B7F">
      <w:pPr>
        <w:jc w:val="both"/>
      </w:pPr>
    </w:p>
    <w:p w14:paraId="2FFCDB50" w14:textId="05F655BD" w:rsidR="00074BD5" w:rsidRDefault="00074BD5" w:rsidP="00235B7F">
      <w:pPr>
        <w:jc w:val="both"/>
      </w:pPr>
    </w:p>
    <w:p w14:paraId="79ACD607" w14:textId="655942B7" w:rsidR="00294278" w:rsidRDefault="00294278" w:rsidP="00294278">
      <w:pPr>
        <w:jc w:val="both"/>
        <w:rPr>
          <w:b/>
          <w:bCs/>
        </w:rPr>
      </w:pPr>
      <w:r w:rsidRPr="00294278">
        <w:rPr>
          <w:b/>
          <w:bCs/>
        </w:rPr>
        <w:t>Tableau récapitulatif</w:t>
      </w:r>
    </w:p>
    <w:p w14:paraId="2C6163FD" w14:textId="2BCEADB8" w:rsidR="00F26E96" w:rsidRDefault="00F26E96" w:rsidP="00294278">
      <w:pPr>
        <w:jc w:val="both"/>
        <w:rPr>
          <w:b/>
          <w:bCs/>
        </w:rPr>
      </w:pPr>
    </w:p>
    <w:tbl>
      <w:tblPr>
        <w:tblStyle w:val="Grilledutableau"/>
        <w:tblW w:w="0" w:type="auto"/>
        <w:tblLook w:val="04A0" w:firstRow="1" w:lastRow="0" w:firstColumn="1" w:lastColumn="0" w:noHBand="0" w:noVBand="1"/>
      </w:tblPr>
      <w:tblGrid>
        <w:gridCol w:w="2265"/>
        <w:gridCol w:w="2265"/>
        <w:gridCol w:w="2266"/>
        <w:gridCol w:w="2266"/>
      </w:tblGrid>
      <w:tr w:rsidR="00F26E96" w14:paraId="6CEE3C94" w14:textId="77777777" w:rsidTr="00F26E96">
        <w:tc>
          <w:tcPr>
            <w:tcW w:w="2265" w:type="dxa"/>
          </w:tcPr>
          <w:p w14:paraId="3DDD9753" w14:textId="77777777" w:rsidR="00F26E96" w:rsidRDefault="00F26E96" w:rsidP="00294278">
            <w:pPr>
              <w:jc w:val="both"/>
              <w:rPr>
                <w:b/>
                <w:bCs/>
              </w:rPr>
            </w:pPr>
          </w:p>
          <w:p w14:paraId="07A13215" w14:textId="78F4A367" w:rsidR="00F26E96" w:rsidRDefault="00F26E96" w:rsidP="00294278">
            <w:pPr>
              <w:jc w:val="both"/>
              <w:rPr>
                <w:b/>
                <w:bCs/>
              </w:rPr>
            </w:pPr>
            <w:r>
              <w:rPr>
                <w:b/>
                <w:bCs/>
              </w:rPr>
              <w:t>Type d’examen médical</w:t>
            </w:r>
          </w:p>
          <w:p w14:paraId="3F05DFB7" w14:textId="2005552C" w:rsidR="00F26E96" w:rsidRDefault="00F26E96" w:rsidP="00294278">
            <w:pPr>
              <w:jc w:val="both"/>
              <w:rPr>
                <w:b/>
                <w:bCs/>
              </w:rPr>
            </w:pPr>
          </w:p>
        </w:tc>
        <w:tc>
          <w:tcPr>
            <w:tcW w:w="2265" w:type="dxa"/>
          </w:tcPr>
          <w:p w14:paraId="5B71E1BF" w14:textId="77777777" w:rsidR="00F26E96" w:rsidRDefault="00F26E96" w:rsidP="00294278">
            <w:pPr>
              <w:jc w:val="both"/>
              <w:rPr>
                <w:b/>
                <w:bCs/>
              </w:rPr>
            </w:pPr>
          </w:p>
          <w:p w14:paraId="5F643876" w14:textId="584E7D44" w:rsidR="00F26E96" w:rsidRDefault="00F26E96" w:rsidP="00294278">
            <w:pPr>
              <w:jc w:val="both"/>
              <w:rPr>
                <w:b/>
                <w:bCs/>
              </w:rPr>
            </w:pPr>
            <w:r>
              <w:rPr>
                <w:b/>
                <w:bCs/>
              </w:rPr>
              <w:t>Report possible d’un an maximum</w:t>
            </w:r>
          </w:p>
        </w:tc>
        <w:tc>
          <w:tcPr>
            <w:tcW w:w="2266" w:type="dxa"/>
          </w:tcPr>
          <w:p w14:paraId="02FA034F" w14:textId="77777777" w:rsidR="00F26E96" w:rsidRDefault="00F26E96" w:rsidP="00294278">
            <w:pPr>
              <w:jc w:val="both"/>
              <w:rPr>
                <w:b/>
                <w:bCs/>
              </w:rPr>
            </w:pPr>
          </w:p>
          <w:p w14:paraId="22D6DD90" w14:textId="66F1E30E" w:rsidR="00F26E96" w:rsidRDefault="00F26E96" w:rsidP="00294278">
            <w:pPr>
              <w:jc w:val="both"/>
              <w:rPr>
                <w:b/>
                <w:bCs/>
              </w:rPr>
            </w:pPr>
            <w:r>
              <w:rPr>
                <w:b/>
                <w:bCs/>
              </w:rPr>
              <w:t>Pas de report possible</w:t>
            </w:r>
          </w:p>
        </w:tc>
        <w:tc>
          <w:tcPr>
            <w:tcW w:w="2266" w:type="dxa"/>
          </w:tcPr>
          <w:p w14:paraId="53D2E4DD" w14:textId="77777777" w:rsidR="00F26E96" w:rsidRDefault="00F26E96" w:rsidP="00294278">
            <w:pPr>
              <w:jc w:val="both"/>
              <w:rPr>
                <w:b/>
                <w:bCs/>
              </w:rPr>
            </w:pPr>
          </w:p>
          <w:p w14:paraId="27FE96DC" w14:textId="1AEBBAFD" w:rsidR="00F26E96" w:rsidRDefault="00F26E96" w:rsidP="00294278">
            <w:pPr>
              <w:jc w:val="both"/>
              <w:rPr>
                <w:b/>
                <w:bCs/>
              </w:rPr>
            </w:pPr>
            <w:r>
              <w:rPr>
                <w:b/>
                <w:bCs/>
              </w:rPr>
              <w:t>Visite</w:t>
            </w:r>
            <w:r w:rsidR="008F2842">
              <w:rPr>
                <w:b/>
                <w:bCs/>
              </w:rPr>
              <w:t>s</w:t>
            </w:r>
            <w:r>
              <w:rPr>
                <w:b/>
                <w:bCs/>
              </w:rPr>
              <w:t xml:space="preserve"> médicales pouvant être confiée</w:t>
            </w:r>
            <w:r w:rsidR="008F2842">
              <w:rPr>
                <w:b/>
                <w:bCs/>
              </w:rPr>
              <w:t>s</w:t>
            </w:r>
            <w:r>
              <w:rPr>
                <w:b/>
                <w:bCs/>
              </w:rPr>
              <w:t xml:space="preserve"> à un infirmier</w:t>
            </w:r>
          </w:p>
        </w:tc>
      </w:tr>
      <w:tr w:rsidR="00F26E96" w14:paraId="126EB8E4" w14:textId="77777777" w:rsidTr="00F26E96">
        <w:tc>
          <w:tcPr>
            <w:tcW w:w="2265" w:type="dxa"/>
          </w:tcPr>
          <w:p w14:paraId="744777F5" w14:textId="77777777" w:rsidR="00F26E96" w:rsidRDefault="00F26E96" w:rsidP="00294278">
            <w:pPr>
              <w:jc w:val="both"/>
              <w:rPr>
                <w:b/>
                <w:bCs/>
              </w:rPr>
            </w:pPr>
          </w:p>
          <w:p w14:paraId="16FCC4E6" w14:textId="0465443E" w:rsidR="000D5D54" w:rsidRDefault="00C73C99" w:rsidP="00294278">
            <w:pPr>
              <w:jc w:val="both"/>
              <w:rPr>
                <w:b/>
                <w:bCs/>
              </w:rPr>
            </w:pPr>
            <w:r>
              <w:rPr>
                <w:b/>
                <w:bCs/>
              </w:rPr>
              <w:t xml:space="preserve">VIP initiale </w:t>
            </w:r>
          </w:p>
          <w:p w14:paraId="0A96DE9F" w14:textId="4F15EB9D" w:rsidR="000D5D54" w:rsidRDefault="000D5D54" w:rsidP="00294278">
            <w:pPr>
              <w:jc w:val="both"/>
              <w:rPr>
                <w:b/>
                <w:bCs/>
              </w:rPr>
            </w:pPr>
          </w:p>
        </w:tc>
        <w:tc>
          <w:tcPr>
            <w:tcW w:w="2265" w:type="dxa"/>
          </w:tcPr>
          <w:p w14:paraId="0A75D057" w14:textId="77777777" w:rsidR="00F26E96" w:rsidRDefault="00F26E96" w:rsidP="00294278">
            <w:pPr>
              <w:jc w:val="both"/>
              <w:rPr>
                <w:b/>
                <w:bCs/>
              </w:rPr>
            </w:pPr>
          </w:p>
          <w:p w14:paraId="58E7401E" w14:textId="221C5312" w:rsidR="000D5D54" w:rsidRDefault="000D5D54" w:rsidP="00294278">
            <w:pPr>
              <w:jc w:val="both"/>
              <w:rPr>
                <w:b/>
                <w:bCs/>
              </w:rPr>
            </w:pPr>
            <w:r>
              <w:rPr>
                <w:b/>
                <w:bCs/>
              </w:rPr>
              <w:t>X</w:t>
            </w:r>
          </w:p>
        </w:tc>
        <w:tc>
          <w:tcPr>
            <w:tcW w:w="2266" w:type="dxa"/>
          </w:tcPr>
          <w:p w14:paraId="3A93AE3E" w14:textId="77777777" w:rsidR="00F26E96" w:rsidRDefault="00F26E96" w:rsidP="00294278">
            <w:pPr>
              <w:jc w:val="both"/>
              <w:rPr>
                <w:b/>
                <w:bCs/>
              </w:rPr>
            </w:pPr>
          </w:p>
        </w:tc>
        <w:tc>
          <w:tcPr>
            <w:tcW w:w="2266" w:type="dxa"/>
          </w:tcPr>
          <w:p w14:paraId="4E905737" w14:textId="77777777" w:rsidR="00F26E96" w:rsidRDefault="00F26E96" w:rsidP="00294278">
            <w:pPr>
              <w:jc w:val="both"/>
              <w:rPr>
                <w:b/>
                <w:bCs/>
              </w:rPr>
            </w:pPr>
          </w:p>
        </w:tc>
      </w:tr>
      <w:tr w:rsidR="00F26E96" w14:paraId="7E43C4C8" w14:textId="77777777" w:rsidTr="00F26E96">
        <w:tc>
          <w:tcPr>
            <w:tcW w:w="2265" w:type="dxa"/>
          </w:tcPr>
          <w:p w14:paraId="778B0CDF" w14:textId="77777777" w:rsidR="00F26E96" w:rsidRDefault="00F26E96" w:rsidP="00294278">
            <w:pPr>
              <w:jc w:val="both"/>
              <w:rPr>
                <w:b/>
                <w:bCs/>
              </w:rPr>
            </w:pPr>
          </w:p>
          <w:p w14:paraId="7E3CD1B4" w14:textId="253F2EB8" w:rsidR="00C73C99" w:rsidRDefault="00C73C99" w:rsidP="000D5D54">
            <w:pPr>
              <w:rPr>
                <w:b/>
                <w:bCs/>
              </w:rPr>
            </w:pPr>
            <w:r>
              <w:rPr>
                <w:b/>
                <w:bCs/>
              </w:rPr>
              <w:t>VIP pour :</w:t>
            </w:r>
          </w:p>
          <w:p w14:paraId="2F500303" w14:textId="4B381F8E" w:rsidR="00C73C99" w:rsidRDefault="00C73C99" w:rsidP="000D5D54">
            <w:pPr>
              <w:rPr>
                <w:b/>
                <w:bCs/>
              </w:rPr>
            </w:pPr>
          </w:p>
          <w:p w14:paraId="046B15EC" w14:textId="02B240A0" w:rsidR="00C73C99" w:rsidRDefault="00C73C99" w:rsidP="00C73C99">
            <w:pPr>
              <w:jc w:val="both"/>
            </w:pPr>
            <w:r>
              <w:t xml:space="preserve">-les </w:t>
            </w:r>
            <w:r w:rsidRPr="00C73C99">
              <w:rPr>
                <w:b/>
              </w:rPr>
              <w:t>travailleurs handicapés</w:t>
            </w:r>
            <w:r>
              <w:t xml:space="preserve"> ; </w:t>
            </w:r>
          </w:p>
          <w:p w14:paraId="1B34B848" w14:textId="7D0AA646" w:rsidR="00C73C99" w:rsidRDefault="00C73C99" w:rsidP="00C73C99">
            <w:pPr>
              <w:jc w:val="both"/>
            </w:pPr>
            <w:r>
              <w:t xml:space="preserve">-les </w:t>
            </w:r>
            <w:r w:rsidRPr="00C73C99">
              <w:t xml:space="preserve">travailleurs qui </w:t>
            </w:r>
            <w:r>
              <w:rPr>
                <w:b/>
              </w:rPr>
              <w:t>déclarent</w:t>
            </w:r>
            <w:r w:rsidRPr="00C73C99">
              <w:rPr>
                <w:b/>
              </w:rPr>
              <w:t xml:space="preserve"> être titulaires d’une pension d’invalidité</w:t>
            </w:r>
            <w:r>
              <w:t xml:space="preserve"> ; </w:t>
            </w:r>
          </w:p>
          <w:p w14:paraId="508E68D0" w14:textId="527508E9" w:rsidR="00C73C99" w:rsidRDefault="00C73C99" w:rsidP="00C73C99">
            <w:pPr>
              <w:jc w:val="both"/>
            </w:pPr>
            <w:r>
              <w:t xml:space="preserve">-les </w:t>
            </w:r>
            <w:r w:rsidRPr="00C73C99">
              <w:rPr>
                <w:b/>
              </w:rPr>
              <w:t>femmes enceintes, venant d’accoucher ou allaitantes </w:t>
            </w:r>
            <w:r>
              <w:t xml:space="preserve">; </w:t>
            </w:r>
          </w:p>
          <w:p w14:paraId="0257D86C" w14:textId="4BDD5F60" w:rsidR="00C73C99" w:rsidRDefault="00C73C99" w:rsidP="00C73C99">
            <w:pPr>
              <w:jc w:val="both"/>
            </w:pPr>
            <w:r>
              <w:t xml:space="preserve">-les travailleurs âgés de </w:t>
            </w:r>
            <w:r w:rsidRPr="00C73C99">
              <w:rPr>
                <w:b/>
              </w:rPr>
              <w:t>moins de 18 ans</w:t>
            </w:r>
            <w:r>
              <w:t> ;</w:t>
            </w:r>
          </w:p>
          <w:p w14:paraId="7F164713" w14:textId="7801568D" w:rsidR="00C73C99" w:rsidRDefault="00C73C99" w:rsidP="00C73C99">
            <w:pPr>
              <w:jc w:val="both"/>
            </w:pPr>
            <w:r>
              <w:t xml:space="preserve">-les travailleurs de </w:t>
            </w:r>
            <w:r w:rsidRPr="00C73C99">
              <w:rPr>
                <w:b/>
              </w:rPr>
              <w:t>nuit</w:t>
            </w:r>
            <w:r>
              <w:t> ;</w:t>
            </w:r>
          </w:p>
          <w:p w14:paraId="7F13DB7E" w14:textId="2131E901" w:rsidR="00C73C99" w:rsidRDefault="00C73C99" w:rsidP="00C73C99">
            <w:pPr>
              <w:jc w:val="both"/>
            </w:pPr>
            <w:r>
              <w:t xml:space="preserve">-les travailleurs exposés à des </w:t>
            </w:r>
            <w:r w:rsidRPr="00C73C99">
              <w:rPr>
                <w:b/>
              </w:rPr>
              <w:t>champs électromagnétiques</w:t>
            </w:r>
            <w:r>
              <w:t xml:space="preserve"> </w:t>
            </w:r>
            <w:r w:rsidRPr="00470685">
              <w:t>affectés à des postes pour lesquels les valeurs limites d’exposition fixées à l’article R. 4453-3 du code du travail sont dépassées ;</w:t>
            </w:r>
            <w:r w:rsidRPr="002A0BA7">
              <w:t xml:space="preserve"> </w:t>
            </w:r>
          </w:p>
          <w:p w14:paraId="37D87433" w14:textId="306604EB" w:rsidR="00C73C99" w:rsidRPr="00C73C99" w:rsidRDefault="00C73C99" w:rsidP="00C73C99">
            <w:pPr>
              <w:jc w:val="both"/>
              <w:rPr>
                <w:b/>
              </w:rPr>
            </w:pPr>
            <w:r>
              <w:t>-l</w:t>
            </w:r>
            <w:r w:rsidRPr="002A0BA7">
              <w:t xml:space="preserve">es travailleurs exposés à des </w:t>
            </w:r>
            <w:r w:rsidRPr="00C73C99">
              <w:rPr>
                <w:b/>
              </w:rPr>
              <w:t>agents biologiques de groupe 2 ;</w:t>
            </w:r>
          </w:p>
          <w:p w14:paraId="3CB7C97C" w14:textId="1D3D9141" w:rsidR="00C73C99" w:rsidRDefault="00C73C99" w:rsidP="00C73C99">
            <w:pPr>
              <w:rPr>
                <w:b/>
                <w:bCs/>
              </w:rPr>
            </w:pPr>
          </w:p>
        </w:tc>
        <w:tc>
          <w:tcPr>
            <w:tcW w:w="2265" w:type="dxa"/>
          </w:tcPr>
          <w:p w14:paraId="28C3A922" w14:textId="77777777" w:rsidR="00F26E96" w:rsidRDefault="00F26E96" w:rsidP="00294278">
            <w:pPr>
              <w:jc w:val="both"/>
              <w:rPr>
                <w:b/>
                <w:bCs/>
              </w:rPr>
            </w:pPr>
          </w:p>
          <w:p w14:paraId="71B97EE6" w14:textId="7F97B76A" w:rsidR="000D5D54" w:rsidRDefault="000D5D54" w:rsidP="00294278">
            <w:pPr>
              <w:jc w:val="both"/>
              <w:rPr>
                <w:b/>
                <w:bCs/>
              </w:rPr>
            </w:pPr>
          </w:p>
        </w:tc>
        <w:tc>
          <w:tcPr>
            <w:tcW w:w="2266" w:type="dxa"/>
          </w:tcPr>
          <w:p w14:paraId="6D1B2D87" w14:textId="77777777" w:rsidR="00F26E96" w:rsidRDefault="00F26E96" w:rsidP="00294278">
            <w:pPr>
              <w:jc w:val="both"/>
              <w:rPr>
                <w:b/>
                <w:bCs/>
              </w:rPr>
            </w:pPr>
          </w:p>
          <w:p w14:paraId="74462A1F" w14:textId="443DD67D" w:rsidR="003C2637" w:rsidRDefault="003C2637" w:rsidP="00294278">
            <w:pPr>
              <w:jc w:val="both"/>
              <w:rPr>
                <w:b/>
                <w:bCs/>
              </w:rPr>
            </w:pPr>
            <w:r>
              <w:rPr>
                <w:b/>
                <w:bCs/>
              </w:rPr>
              <w:t>X</w:t>
            </w:r>
          </w:p>
        </w:tc>
        <w:tc>
          <w:tcPr>
            <w:tcW w:w="2266" w:type="dxa"/>
          </w:tcPr>
          <w:p w14:paraId="42CAEF1B" w14:textId="77777777" w:rsidR="00F26E96" w:rsidRDefault="00F26E96" w:rsidP="00294278">
            <w:pPr>
              <w:jc w:val="both"/>
              <w:rPr>
                <w:b/>
                <w:bCs/>
              </w:rPr>
            </w:pPr>
          </w:p>
        </w:tc>
      </w:tr>
      <w:tr w:rsidR="000568B8" w14:paraId="500FE10C" w14:textId="77777777" w:rsidTr="00F26E96">
        <w:tc>
          <w:tcPr>
            <w:tcW w:w="2265" w:type="dxa"/>
          </w:tcPr>
          <w:p w14:paraId="5921EC23" w14:textId="598123A9" w:rsidR="000568B8" w:rsidRDefault="000568B8" w:rsidP="00F04F2D">
            <w:pPr>
              <w:jc w:val="both"/>
              <w:rPr>
                <w:b/>
                <w:bCs/>
              </w:rPr>
            </w:pPr>
            <w:r>
              <w:rPr>
                <w:b/>
                <w:bCs/>
              </w:rPr>
              <w:t xml:space="preserve">Examen médical </w:t>
            </w:r>
            <w:r w:rsidR="00F04F2D">
              <w:rPr>
                <w:b/>
                <w:bCs/>
              </w:rPr>
              <w:t>d’aptitude initial</w:t>
            </w:r>
            <w:bookmarkStart w:id="0" w:name="_GoBack"/>
            <w:bookmarkEnd w:id="0"/>
          </w:p>
        </w:tc>
        <w:tc>
          <w:tcPr>
            <w:tcW w:w="2265" w:type="dxa"/>
          </w:tcPr>
          <w:p w14:paraId="056CF1A1" w14:textId="77777777" w:rsidR="000568B8" w:rsidRDefault="000568B8" w:rsidP="00294278">
            <w:pPr>
              <w:jc w:val="both"/>
              <w:rPr>
                <w:b/>
                <w:bCs/>
              </w:rPr>
            </w:pPr>
          </w:p>
        </w:tc>
        <w:tc>
          <w:tcPr>
            <w:tcW w:w="2266" w:type="dxa"/>
          </w:tcPr>
          <w:p w14:paraId="3F7E6B14" w14:textId="484A4972" w:rsidR="000568B8" w:rsidRDefault="000568B8" w:rsidP="00294278">
            <w:pPr>
              <w:jc w:val="both"/>
              <w:rPr>
                <w:b/>
                <w:bCs/>
              </w:rPr>
            </w:pPr>
            <w:r>
              <w:rPr>
                <w:b/>
                <w:bCs/>
              </w:rPr>
              <w:t>X</w:t>
            </w:r>
          </w:p>
        </w:tc>
        <w:tc>
          <w:tcPr>
            <w:tcW w:w="2266" w:type="dxa"/>
          </w:tcPr>
          <w:p w14:paraId="6FDEC3F1" w14:textId="77777777" w:rsidR="000568B8" w:rsidRDefault="000568B8" w:rsidP="00294278">
            <w:pPr>
              <w:jc w:val="both"/>
              <w:rPr>
                <w:b/>
                <w:bCs/>
              </w:rPr>
            </w:pPr>
          </w:p>
        </w:tc>
      </w:tr>
      <w:tr w:rsidR="003C2637" w14:paraId="369C4989" w14:textId="77777777" w:rsidTr="00F26E96">
        <w:tc>
          <w:tcPr>
            <w:tcW w:w="2265" w:type="dxa"/>
          </w:tcPr>
          <w:p w14:paraId="0855476C" w14:textId="77777777" w:rsidR="003C2637" w:rsidRDefault="003C2637" w:rsidP="003C2637">
            <w:pPr>
              <w:jc w:val="both"/>
              <w:rPr>
                <w:b/>
                <w:bCs/>
              </w:rPr>
            </w:pPr>
          </w:p>
          <w:p w14:paraId="4AA1BC9F" w14:textId="3A12698A" w:rsidR="003C2637" w:rsidRDefault="003C2637" w:rsidP="003C2637">
            <w:pPr>
              <w:rPr>
                <w:b/>
                <w:bCs/>
              </w:rPr>
            </w:pPr>
            <w:r>
              <w:rPr>
                <w:b/>
                <w:bCs/>
              </w:rPr>
              <w:t xml:space="preserve">Examen médical d’aptitude à l’embauche pour : </w:t>
            </w:r>
          </w:p>
          <w:p w14:paraId="39CDF70E" w14:textId="77777777" w:rsidR="003C2637" w:rsidRDefault="003C2637" w:rsidP="003C2637">
            <w:pPr>
              <w:rPr>
                <w:b/>
                <w:bCs/>
              </w:rPr>
            </w:pPr>
          </w:p>
          <w:p w14:paraId="2D8B9F04" w14:textId="77777777" w:rsidR="003C2637" w:rsidRDefault="003C2637" w:rsidP="003C2637">
            <w:pPr>
              <w:jc w:val="both"/>
            </w:pPr>
            <w:r>
              <w:t xml:space="preserve">-les </w:t>
            </w:r>
            <w:r w:rsidRPr="00C73C99">
              <w:rPr>
                <w:b/>
              </w:rPr>
              <w:t>travailleurs handicapés</w:t>
            </w:r>
            <w:r>
              <w:t xml:space="preserve"> ; </w:t>
            </w:r>
          </w:p>
          <w:p w14:paraId="60602881" w14:textId="77777777" w:rsidR="003C2637" w:rsidRDefault="003C2637" w:rsidP="003C2637">
            <w:pPr>
              <w:jc w:val="both"/>
            </w:pPr>
            <w:r>
              <w:t xml:space="preserve">-les </w:t>
            </w:r>
            <w:r w:rsidRPr="00C73C99">
              <w:t xml:space="preserve">travailleurs qui </w:t>
            </w:r>
            <w:r>
              <w:rPr>
                <w:b/>
              </w:rPr>
              <w:t>déclarent</w:t>
            </w:r>
            <w:r w:rsidRPr="00C73C99">
              <w:rPr>
                <w:b/>
              </w:rPr>
              <w:t xml:space="preserve"> être titulaires d’une pension d’invalidité</w:t>
            </w:r>
            <w:r>
              <w:t xml:space="preserve"> ; </w:t>
            </w:r>
          </w:p>
          <w:p w14:paraId="63FEC4B6" w14:textId="77777777" w:rsidR="003C2637" w:rsidRDefault="003C2637" w:rsidP="003C2637">
            <w:pPr>
              <w:jc w:val="both"/>
            </w:pPr>
            <w:r>
              <w:t xml:space="preserve">-les </w:t>
            </w:r>
            <w:r w:rsidRPr="00C73C99">
              <w:rPr>
                <w:b/>
              </w:rPr>
              <w:t>femmes enceintes, venant d’accoucher ou allaitantes </w:t>
            </w:r>
            <w:r>
              <w:t xml:space="preserve">; </w:t>
            </w:r>
          </w:p>
          <w:p w14:paraId="3FCD70E1" w14:textId="77777777" w:rsidR="003C2637" w:rsidRDefault="003C2637" w:rsidP="003C2637">
            <w:pPr>
              <w:jc w:val="both"/>
            </w:pPr>
            <w:r>
              <w:t xml:space="preserve">-les travailleurs âgés de </w:t>
            </w:r>
            <w:r w:rsidRPr="00C73C99">
              <w:rPr>
                <w:b/>
              </w:rPr>
              <w:t>moins de 18 ans</w:t>
            </w:r>
            <w:r>
              <w:t> ;</w:t>
            </w:r>
          </w:p>
          <w:p w14:paraId="47703DC1" w14:textId="77777777" w:rsidR="003C2637" w:rsidRDefault="003C2637" w:rsidP="003C2637">
            <w:pPr>
              <w:jc w:val="both"/>
            </w:pPr>
            <w:r>
              <w:t xml:space="preserve">-les travailleurs de </w:t>
            </w:r>
            <w:r w:rsidRPr="00C73C99">
              <w:rPr>
                <w:b/>
              </w:rPr>
              <w:t>nuit</w:t>
            </w:r>
            <w:r>
              <w:t> ;</w:t>
            </w:r>
          </w:p>
          <w:p w14:paraId="37FE0309" w14:textId="77777777" w:rsidR="003C2637" w:rsidRDefault="003C2637" w:rsidP="003C2637">
            <w:pPr>
              <w:jc w:val="both"/>
            </w:pPr>
            <w:r>
              <w:t xml:space="preserve">-les travailleurs exposés à des </w:t>
            </w:r>
            <w:r w:rsidRPr="00C73C99">
              <w:rPr>
                <w:b/>
              </w:rPr>
              <w:t>champs électromagnétiques</w:t>
            </w:r>
            <w:r>
              <w:t xml:space="preserve"> </w:t>
            </w:r>
            <w:r w:rsidRPr="00470685">
              <w:t>affectés à des postes pour lesquels les valeurs limites d’exposition fixées à l’article R. 4453-3 du code du travail sont dépassées ;</w:t>
            </w:r>
            <w:r w:rsidRPr="002A0BA7">
              <w:t xml:space="preserve"> </w:t>
            </w:r>
          </w:p>
          <w:p w14:paraId="26C735A8" w14:textId="77777777" w:rsidR="003C2637" w:rsidRPr="00C73C99" w:rsidRDefault="003C2637" w:rsidP="003C2637">
            <w:pPr>
              <w:jc w:val="both"/>
              <w:rPr>
                <w:b/>
              </w:rPr>
            </w:pPr>
            <w:r>
              <w:t>-l</w:t>
            </w:r>
            <w:r w:rsidRPr="002A0BA7">
              <w:t xml:space="preserve">es travailleurs exposés à des </w:t>
            </w:r>
            <w:r w:rsidRPr="00C73C99">
              <w:rPr>
                <w:b/>
              </w:rPr>
              <w:t>agents biologiques de groupe 2 ;</w:t>
            </w:r>
          </w:p>
          <w:p w14:paraId="0D44BE71" w14:textId="36C19E80" w:rsidR="003C2637" w:rsidRDefault="003C2637" w:rsidP="003C2637">
            <w:pPr>
              <w:jc w:val="both"/>
              <w:rPr>
                <w:b/>
                <w:bCs/>
              </w:rPr>
            </w:pPr>
          </w:p>
        </w:tc>
        <w:tc>
          <w:tcPr>
            <w:tcW w:w="2265" w:type="dxa"/>
          </w:tcPr>
          <w:p w14:paraId="214A9AF7" w14:textId="77777777" w:rsidR="003C2637" w:rsidRDefault="003C2637" w:rsidP="003C2637">
            <w:pPr>
              <w:jc w:val="both"/>
              <w:rPr>
                <w:b/>
                <w:bCs/>
              </w:rPr>
            </w:pPr>
          </w:p>
        </w:tc>
        <w:tc>
          <w:tcPr>
            <w:tcW w:w="2266" w:type="dxa"/>
          </w:tcPr>
          <w:p w14:paraId="30002527" w14:textId="77777777" w:rsidR="003C2637" w:rsidRDefault="003C2637" w:rsidP="003C2637">
            <w:pPr>
              <w:jc w:val="both"/>
              <w:rPr>
                <w:b/>
                <w:bCs/>
              </w:rPr>
            </w:pPr>
          </w:p>
          <w:p w14:paraId="4627CC1F" w14:textId="1F63E704" w:rsidR="003C2637" w:rsidRDefault="003C2637" w:rsidP="003C2637">
            <w:pPr>
              <w:jc w:val="both"/>
              <w:rPr>
                <w:b/>
                <w:bCs/>
              </w:rPr>
            </w:pPr>
            <w:r>
              <w:rPr>
                <w:b/>
                <w:bCs/>
              </w:rPr>
              <w:t>X</w:t>
            </w:r>
          </w:p>
        </w:tc>
        <w:tc>
          <w:tcPr>
            <w:tcW w:w="2266" w:type="dxa"/>
          </w:tcPr>
          <w:p w14:paraId="7FCEABA8" w14:textId="77777777" w:rsidR="003C2637" w:rsidRDefault="003C2637" w:rsidP="003C2637">
            <w:pPr>
              <w:jc w:val="both"/>
              <w:rPr>
                <w:b/>
                <w:bCs/>
              </w:rPr>
            </w:pPr>
          </w:p>
        </w:tc>
      </w:tr>
      <w:tr w:rsidR="003C2637" w14:paraId="0D0A3C20" w14:textId="77777777" w:rsidTr="00F26E96">
        <w:tc>
          <w:tcPr>
            <w:tcW w:w="2265" w:type="dxa"/>
          </w:tcPr>
          <w:p w14:paraId="6D902FF4" w14:textId="612C5D8B" w:rsidR="003C2637" w:rsidRDefault="003C2637" w:rsidP="003C2637">
            <w:pPr>
              <w:jc w:val="both"/>
              <w:rPr>
                <w:b/>
                <w:bCs/>
              </w:rPr>
            </w:pPr>
          </w:p>
          <w:p w14:paraId="1FD6897B" w14:textId="1FEAB1EE" w:rsidR="003C2637" w:rsidRDefault="003C2637" w:rsidP="003C2637">
            <w:pPr>
              <w:jc w:val="both"/>
              <w:rPr>
                <w:b/>
                <w:bCs/>
              </w:rPr>
            </w:pPr>
            <w:r>
              <w:rPr>
                <w:b/>
                <w:bCs/>
              </w:rPr>
              <w:t xml:space="preserve">VIP périodique </w:t>
            </w:r>
          </w:p>
        </w:tc>
        <w:tc>
          <w:tcPr>
            <w:tcW w:w="2265" w:type="dxa"/>
          </w:tcPr>
          <w:p w14:paraId="43E47FFF" w14:textId="77777777" w:rsidR="003C2637" w:rsidRDefault="003C2637" w:rsidP="003C2637">
            <w:pPr>
              <w:jc w:val="both"/>
              <w:rPr>
                <w:b/>
                <w:bCs/>
              </w:rPr>
            </w:pPr>
          </w:p>
          <w:p w14:paraId="377C51A7" w14:textId="77777777" w:rsidR="003C2637" w:rsidRDefault="003C2637" w:rsidP="003C2637">
            <w:pPr>
              <w:jc w:val="both"/>
              <w:rPr>
                <w:b/>
                <w:bCs/>
              </w:rPr>
            </w:pPr>
            <w:r>
              <w:rPr>
                <w:b/>
                <w:bCs/>
              </w:rPr>
              <w:t>X</w:t>
            </w:r>
          </w:p>
          <w:p w14:paraId="0464FAA5" w14:textId="65CAFDED" w:rsidR="003C2637" w:rsidRDefault="003C2637" w:rsidP="003C2637">
            <w:pPr>
              <w:jc w:val="both"/>
              <w:rPr>
                <w:b/>
                <w:bCs/>
              </w:rPr>
            </w:pPr>
          </w:p>
        </w:tc>
        <w:tc>
          <w:tcPr>
            <w:tcW w:w="2266" w:type="dxa"/>
          </w:tcPr>
          <w:p w14:paraId="14C5D7DA" w14:textId="77777777" w:rsidR="003C2637" w:rsidRDefault="003C2637" w:rsidP="003C2637">
            <w:pPr>
              <w:jc w:val="both"/>
              <w:rPr>
                <w:b/>
                <w:bCs/>
              </w:rPr>
            </w:pPr>
          </w:p>
          <w:p w14:paraId="30F03FF1" w14:textId="13E9AEBC" w:rsidR="003C2637" w:rsidRDefault="003C2637" w:rsidP="003C2637">
            <w:pPr>
              <w:jc w:val="both"/>
              <w:rPr>
                <w:b/>
                <w:bCs/>
              </w:rPr>
            </w:pPr>
          </w:p>
        </w:tc>
        <w:tc>
          <w:tcPr>
            <w:tcW w:w="2266" w:type="dxa"/>
          </w:tcPr>
          <w:p w14:paraId="0BD1DCA4" w14:textId="77777777" w:rsidR="003C2637" w:rsidRDefault="003C2637" w:rsidP="003C2637">
            <w:pPr>
              <w:jc w:val="both"/>
              <w:rPr>
                <w:b/>
                <w:bCs/>
              </w:rPr>
            </w:pPr>
          </w:p>
        </w:tc>
      </w:tr>
      <w:tr w:rsidR="003C2637" w14:paraId="2AB2FA1B" w14:textId="77777777" w:rsidTr="00F26E96">
        <w:tc>
          <w:tcPr>
            <w:tcW w:w="2265" w:type="dxa"/>
          </w:tcPr>
          <w:p w14:paraId="5A9C55C3" w14:textId="77777777" w:rsidR="003C2637" w:rsidRDefault="003C2637" w:rsidP="003C2637">
            <w:pPr>
              <w:jc w:val="both"/>
              <w:rPr>
                <w:b/>
                <w:bCs/>
              </w:rPr>
            </w:pPr>
          </w:p>
          <w:p w14:paraId="4A806C11" w14:textId="701A6B2C" w:rsidR="003C2637" w:rsidRDefault="0026532E" w:rsidP="003C2637">
            <w:pPr>
              <w:jc w:val="both"/>
              <w:rPr>
                <w:b/>
                <w:bCs/>
              </w:rPr>
            </w:pPr>
            <w:r>
              <w:rPr>
                <w:b/>
                <w:bCs/>
              </w:rPr>
              <w:t>Le renouvellement de l’e</w:t>
            </w:r>
            <w:r w:rsidR="003C2637">
              <w:rPr>
                <w:b/>
                <w:bCs/>
              </w:rPr>
              <w:t>xamen médical d’aptitude pour les travailleurs en SIR (à l’exception des travailleurs exposés à des rayonnements ionisants classés en catégorie A)</w:t>
            </w:r>
          </w:p>
          <w:p w14:paraId="246C38DB" w14:textId="12726B05" w:rsidR="003C2637" w:rsidRDefault="003C2637" w:rsidP="003C2637">
            <w:pPr>
              <w:jc w:val="both"/>
              <w:rPr>
                <w:b/>
                <w:bCs/>
              </w:rPr>
            </w:pPr>
          </w:p>
        </w:tc>
        <w:tc>
          <w:tcPr>
            <w:tcW w:w="2265" w:type="dxa"/>
          </w:tcPr>
          <w:p w14:paraId="0C95F174" w14:textId="77777777" w:rsidR="003C2637" w:rsidRDefault="003C2637" w:rsidP="003C2637">
            <w:pPr>
              <w:jc w:val="both"/>
              <w:rPr>
                <w:b/>
                <w:bCs/>
              </w:rPr>
            </w:pPr>
          </w:p>
          <w:p w14:paraId="66CDF0BD" w14:textId="72D719D3" w:rsidR="003C2637" w:rsidRDefault="003C2637" w:rsidP="003C2637">
            <w:pPr>
              <w:jc w:val="both"/>
              <w:rPr>
                <w:b/>
                <w:bCs/>
              </w:rPr>
            </w:pPr>
            <w:r>
              <w:rPr>
                <w:b/>
                <w:bCs/>
              </w:rPr>
              <w:t>X</w:t>
            </w:r>
          </w:p>
        </w:tc>
        <w:tc>
          <w:tcPr>
            <w:tcW w:w="2266" w:type="dxa"/>
          </w:tcPr>
          <w:p w14:paraId="059971EF" w14:textId="77777777" w:rsidR="003C2637" w:rsidRDefault="003C2637" w:rsidP="003C2637">
            <w:pPr>
              <w:jc w:val="both"/>
              <w:rPr>
                <w:b/>
                <w:bCs/>
              </w:rPr>
            </w:pPr>
          </w:p>
        </w:tc>
        <w:tc>
          <w:tcPr>
            <w:tcW w:w="2266" w:type="dxa"/>
          </w:tcPr>
          <w:p w14:paraId="6AB4872F" w14:textId="77777777" w:rsidR="003C2637" w:rsidRDefault="003C2637" w:rsidP="003C2637">
            <w:pPr>
              <w:jc w:val="both"/>
              <w:rPr>
                <w:b/>
                <w:bCs/>
              </w:rPr>
            </w:pPr>
          </w:p>
        </w:tc>
      </w:tr>
      <w:tr w:rsidR="003C2637" w14:paraId="207CAA08" w14:textId="77777777" w:rsidTr="00F26E96">
        <w:tc>
          <w:tcPr>
            <w:tcW w:w="2265" w:type="dxa"/>
          </w:tcPr>
          <w:p w14:paraId="113497B0" w14:textId="77777777" w:rsidR="003C2637" w:rsidRDefault="003C2637" w:rsidP="003C2637">
            <w:pPr>
              <w:jc w:val="both"/>
              <w:rPr>
                <w:b/>
                <w:bCs/>
              </w:rPr>
            </w:pPr>
          </w:p>
          <w:p w14:paraId="7C3FB3DA" w14:textId="0F687863" w:rsidR="003C2637" w:rsidRDefault="0026532E" w:rsidP="003C2637">
            <w:pPr>
              <w:jc w:val="both"/>
              <w:rPr>
                <w:b/>
                <w:bCs/>
              </w:rPr>
            </w:pPr>
            <w:r>
              <w:rPr>
                <w:b/>
                <w:bCs/>
              </w:rPr>
              <w:t>Le renouvellement de l’e</w:t>
            </w:r>
            <w:r w:rsidR="00AF77E4">
              <w:rPr>
                <w:b/>
                <w:bCs/>
              </w:rPr>
              <w:t xml:space="preserve">xamen médical </w:t>
            </w:r>
            <w:r w:rsidR="003C2637">
              <w:rPr>
                <w:b/>
                <w:bCs/>
              </w:rPr>
              <w:t>d’aptitude pour les travailleurs exposés à des rayonnements ionisants classés en catégorie A</w:t>
            </w:r>
          </w:p>
          <w:p w14:paraId="7AD5668A" w14:textId="4E85C0BB" w:rsidR="003C2637" w:rsidRDefault="003C2637" w:rsidP="003C2637">
            <w:pPr>
              <w:jc w:val="both"/>
              <w:rPr>
                <w:b/>
                <w:bCs/>
              </w:rPr>
            </w:pPr>
          </w:p>
        </w:tc>
        <w:tc>
          <w:tcPr>
            <w:tcW w:w="2265" w:type="dxa"/>
          </w:tcPr>
          <w:p w14:paraId="67CBB30B" w14:textId="77777777" w:rsidR="003C2637" w:rsidRDefault="003C2637" w:rsidP="003C2637">
            <w:pPr>
              <w:jc w:val="both"/>
              <w:rPr>
                <w:b/>
                <w:bCs/>
              </w:rPr>
            </w:pPr>
          </w:p>
        </w:tc>
        <w:tc>
          <w:tcPr>
            <w:tcW w:w="2266" w:type="dxa"/>
          </w:tcPr>
          <w:p w14:paraId="6AF9D042" w14:textId="77777777" w:rsidR="003C2637" w:rsidRDefault="003C2637" w:rsidP="003C2637">
            <w:pPr>
              <w:jc w:val="both"/>
              <w:rPr>
                <w:b/>
                <w:bCs/>
              </w:rPr>
            </w:pPr>
          </w:p>
          <w:p w14:paraId="0CA09107" w14:textId="7E84341B" w:rsidR="003C2637" w:rsidRDefault="003C2637" w:rsidP="003C2637">
            <w:pPr>
              <w:jc w:val="both"/>
              <w:rPr>
                <w:b/>
                <w:bCs/>
              </w:rPr>
            </w:pPr>
            <w:r>
              <w:rPr>
                <w:b/>
                <w:bCs/>
              </w:rPr>
              <w:t>X</w:t>
            </w:r>
          </w:p>
        </w:tc>
        <w:tc>
          <w:tcPr>
            <w:tcW w:w="2266" w:type="dxa"/>
          </w:tcPr>
          <w:p w14:paraId="06E87FD4" w14:textId="77777777" w:rsidR="003C2637" w:rsidRDefault="003C2637" w:rsidP="003C2637">
            <w:pPr>
              <w:jc w:val="both"/>
              <w:rPr>
                <w:b/>
                <w:bCs/>
              </w:rPr>
            </w:pPr>
          </w:p>
        </w:tc>
      </w:tr>
      <w:tr w:rsidR="003C2637" w14:paraId="18285753" w14:textId="77777777" w:rsidTr="00F26E96">
        <w:tc>
          <w:tcPr>
            <w:tcW w:w="2265" w:type="dxa"/>
          </w:tcPr>
          <w:p w14:paraId="56FF3E68" w14:textId="5835DA3C" w:rsidR="003C2637" w:rsidRDefault="003C2637" w:rsidP="003C2637">
            <w:pPr>
              <w:jc w:val="both"/>
              <w:rPr>
                <w:b/>
                <w:bCs/>
              </w:rPr>
            </w:pPr>
          </w:p>
          <w:p w14:paraId="250224FD" w14:textId="4C3C51BC" w:rsidR="003C2637" w:rsidRDefault="003C2637" w:rsidP="003C2637">
            <w:pPr>
              <w:jc w:val="both"/>
              <w:rPr>
                <w:b/>
                <w:bCs/>
              </w:rPr>
            </w:pPr>
            <w:r>
              <w:rPr>
                <w:b/>
                <w:bCs/>
              </w:rPr>
              <w:t xml:space="preserve">Visite intermédiaire pour les travailleurs en SIR </w:t>
            </w:r>
          </w:p>
          <w:p w14:paraId="5DF7B3CA" w14:textId="1B34E343" w:rsidR="003C2637" w:rsidRDefault="003C2637" w:rsidP="003C2637">
            <w:pPr>
              <w:jc w:val="both"/>
              <w:rPr>
                <w:b/>
                <w:bCs/>
              </w:rPr>
            </w:pPr>
          </w:p>
        </w:tc>
        <w:tc>
          <w:tcPr>
            <w:tcW w:w="2265" w:type="dxa"/>
          </w:tcPr>
          <w:p w14:paraId="3CFD13ED" w14:textId="77777777" w:rsidR="003C2637" w:rsidRDefault="003C2637" w:rsidP="003C2637">
            <w:pPr>
              <w:jc w:val="both"/>
              <w:rPr>
                <w:b/>
                <w:bCs/>
              </w:rPr>
            </w:pPr>
          </w:p>
          <w:p w14:paraId="02B9312A" w14:textId="1C228331" w:rsidR="003C2637" w:rsidRDefault="003C2637" w:rsidP="003C2637">
            <w:pPr>
              <w:jc w:val="both"/>
              <w:rPr>
                <w:b/>
                <w:bCs/>
              </w:rPr>
            </w:pPr>
            <w:r>
              <w:rPr>
                <w:b/>
                <w:bCs/>
              </w:rPr>
              <w:t>X</w:t>
            </w:r>
          </w:p>
        </w:tc>
        <w:tc>
          <w:tcPr>
            <w:tcW w:w="2266" w:type="dxa"/>
          </w:tcPr>
          <w:p w14:paraId="159FD780" w14:textId="77777777" w:rsidR="003C2637" w:rsidRDefault="003C2637" w:rsidP="003C2637">
            <w:pPr>
              <w:jc w:val="both"/>
              <w:rPr>
                <w:b/>
                <w:bCs/>
              </w:rPr>
            </w:pPr>
          </w:p>
        </w:tc>
        <w:tc>
          <w:tcPr>
            <w:tcW w:w="2266" w:type="dxa"/>
          </w:tcPr>
          <w:p w14:paraId="301B08AB" w14:textId="77777777" w:rsidR="003C2637" w:rsidRDefault="003C2637" w:rsidP="003C2637">
            <w:pPr>
              <w:jc w:val="both"/>
              <w:rPr>
                <w:b/>
                <w:bCs/>
              </w:rPr>
            </w:pPr>
          </w:p>
        </w:tc>
      </w:tr>
      <w:tr w:rsidR="003C2637" w14:paraId="5B889A42" w14:textId="77777777" w:rsidTr="00F26E96">
        <w:tc>
          <w:tcPr>
            <w:tcW w:w="2265" w:type="dxa"/>
          </w:tcPr>
          <w:p w14:paraId="78CBFC71" w14:textId="78A0F55E" w:rsidR="003C2637" w:rsidRDefault="003C2637" w:rsidP="003C2637">
            <w:pPr>
              <w:jc w:val="both"/>
              <w:rPr>
                <w:b/>
                <w:bCs/>
              </w:rPr>
            </w:pPr>
          </w:p>
          <w:p w14:paraId="51F2157A" w14:textId="207A4023" w:rsidR="003C2637" w:rsidRDefault="003C2637" w:rsidP="003C2637">
            <w:pPr>
              <w:jc w:val="both"/>
              <w:rPr>
                <w:b/>
                <w:bCs/>
              </w:rPr>
            </w:pPr>
            <w:r>
              <w:rPr>
                <w:b/>
                <w:bCs/>
              </w:rPr>
              <w:t xml:space="preserve">Visite de pré-reprise </w:t>
            </w:r>
          </w:p>
          <w:p w14:paraId="2C152C82" w14:textId="2EB1DF30" w:rsidR="003C2637" w:rsidRDefault="003C2637" w:rsidP="003C2637">
            <w:pPr>
              <w:jc w:val="both"/>
              <w:rPr>
                <w:b/>
                <w:bCs/>
              </w:rPr>
            </w:pPr>
          </w:p>
        </w:tc>
        <w:tc>
          <w:tcPr>
            <w:tcW w:w="2265" w:type="dxa"/>
          </w:tcPr>
          <w:p w14:paraId="435948B6" w14:textId="77777777" w:rsidR="003C2637" w:rsidRDefault="003C2637" w:rsidP="003C2637">
            <w:pPr>
              <w:jc w:val="both"/>
              <w:rPr>
                <w:b/>
                <w:bCs/>
              </w:rPr>
            </w:pPr>
          </w:p>
        </w:tc>
        <w:tc>
          <w:tcPr>
            <w:tcW w:w="2266" w:type="dxa"/>
          </w:tcPr>
          <w:p w14:paraId="7F57633C" w14:textId="77777777" w:rsidR="003C2637" w:rsidRDefault="003C2637" w:rsidP="003C2637">
            <w:pPr>
              <w:jc w:val="both"/>
              <w:rPr>
                <w:b/>
                <w:bCs/>
              </w:rPr>
            </w:pPr>
          </w:p>
          <w:p w14:paraId="53474944" w14:textId="26C26357" w:rsidR="003C2637" w:rsidRDefault="003C2637" w:rsidP="003C2637">
            <w:pPr>
              <w:jc w:val="both"/>
              <w:rPr>
                <w:b/>
                <w:bCs/>
              </w:rPr>
            </w:pPr>
            <w:r>
              <w:rPr>
                <w:b/>
                <w:bCs/>
              </w:rPr>
              <w:t>X</w:t>
            </w:r>
          </w:p>
        </w:tc>
        <w:tc>
          <w:tcPr>
            <w:tcW w:w="2266" w:type="dxa"/>
          </w:tcPr>
          <w:p w14:paraId="7E3EB209" w14:textId="77777777" w:rsidR="003C2637" w:rsidRDefault="003C2637" w:rsidP="003C2637">
            <w:pPr>
              <w:jc w:val="both"/>
              <w:rPr>
                <w:b/>
                <w:bCs/>
              </w:rPr>
            </w:pPr>
          </w:p>
          <w:p w14:paraId="70D2A173" w14:textId="692EBC85" w:rsidR="003C2637" w:rsidRDefault="003C2637" w:rsidP="003C2637">
            <w:pPr>
              <w:jc w:val="both"/>
              <w:rPr>
                <w:b/>
                <w:bCs/>
              </w:rPr>
            </w:pPr>
            <w:r>
              <w:rPr>
                <w:b/>
                <w:bCs/>
              </w:rPr>
              <w:t>X</w:t>
            </w:r>
          </w:p>
        </w:tc>
      </w:tr>
      <w:tr w:rsidR="003C2637" w14:paraId="57EA6A5C" w14:textId="77777777" w:rsidTr="00F26E96">
        <w:tc>
          <w:tcPr>
            <w:tcW w:w="2265" w:type="dxa"/>
          </w:tcPr>
          <w:p w14:paraId="1192A1C9" w14:textId="0A2B703F" w:rsidR="003C2637" w:rsidRDefault="003C2637" w:rsidP="003C2637">
            <w:pPr>
              <w:jc w:val="both"/>
              <w:rPr>
                <w:b/>
                <w:bCs/>
              </w:rPr>
            </w:pPr>
          </w:p>
          <w:p w14:paraId="3F7DE8F8" w14:textId="041ED946" w:rsidR="003C2637" w:rsidRPr="000D5D54" w:rsidRDefault="003C2637" w:rsidP="003C2637">
            <w:pPr>
              <w:rPr>
                <w:b/>
                <w:bCs/>
              </w:rPr>
            </w:pPr>
            <w:r w:rsidRPr="000D5D54">
              <w:rPr>
                <w:b/>
              </w:rPr>
              <w:t xml:space="preserve">Examen médical de reprise pour les travailleurs ne faisant pas l'objet d'un </w:t>
            </w:r>
            <w:r>
              <w:rPr>
                <w:b/>
              </w:rPr>
              <w:t xml:space="preserve">SIR </w:t>
            </w:r>
          </w:p>
          <w:p w14:paraId="779A9A11" w14:textId="10DD36F9" w:rsidR="003C2637" w:rsidRDefault="003C2637" w:rsidP="003C2637">
            <w:pPr>
              <w:jc w:val="both"/>
              <w:rPr>
                <w:b/>
                <w:bCs/>
              </w:rPr>
            </w:pPr>
          </w:p>
        </w:tc>
        <w:tc>
          <w:tcPr>
            <w:tcW w:w="2265" w:type="dxa"/>
          </w:tcPr>
          <w:p w14:paraId="01157025" w14:textId="77777777" w:rsidR="003C2637" w:rsidRDefault="003C2637" w:rsidP="003C2637">
            <w:pPr>
              <w:jc w:val="both"/>
              <w:rPr>
                <w:b/>
                <w:bCs/>
              </w:rPr>
            </w:pPr>
          </w:p>
        </w:tc>
        <w:tc>
          <w:tcPr>
            <w:tcW w:w="2266" w:type="dxa"/>
          </w:tcPr>
          <w:p w14:paraId="0D4BA10F" w14:textId="77777777" w:rsidR="003C2637" w:rsidRDefault="003C2637" w:rsidP="003C2637">
            <w:pPr>
              <w:jc w:val="both"/>
              <w:rPr>
                <w:b/>
                <w:bCs/>
              </w:rPr>
            </w:pPr>
          </w:p>
          <w:p w14:paraId="2E7BF98F" w14:textId="5579A41C" w:rsidR="003C2637" w:rsidRDefault="003C2637" w:rsidP="003C2637">
            <w:pPr>
              <w:jc w:val="both"/>
              <w:rPr>
                <w:b/>
                <w:bCs/>
              </w:rPr>
            </w:pPr>
            <w:r>
              <w:rPr>
                <w:b/>
                <w:bCs/>
              </w:rPr>
              <w:t>X</w:t>
            </w:r>
          </w:p>
        </w:tc>
        <w:tc>
          <w:tcPr>
            <w:tcW w:w="2266" w:type="dxa"/>
          </w:tcPr>
          <w:p w14:paraId="7F062864" w14:textId="77777777" w:rsidR="003C2637" w:rsidRDefault="003C2637" w:rsidP="003C2637">
            <w:pPr>
              <w:jc w:val="both"/>
              <w:rPr>
                <w:b/>
                <w:bCs/>
              </w:rPr>
            </w:pPr>
          </w:p>
          <w:p w14:paraId="6521ACAE" w14:textId="4B6D1B56" w:rsidR="003C2637" w:rsidRDefault="003C2637" w:rsidP="003C2637">
            <w:pPr>
              <w:jc w:val="both"/>
              <w:rPr>
                <w:b/>
                <w:bCs/>
              </w:rPr>
            </w:pPr>
            <w:r>
              <w:rPr>
                <w:b/>
                <w:bCs/>
              </w:rPr>
              <w:t>X</w:t>
            </w:r>
          </w:p>
        </w:tc>
      </w:tr>
      <w:tr w:rsidR="003C2637" w14:paraId="17006916" w14:textId="77777777" w:rsidTr="00F26E96">
        <w:tc>
          <w:tcPr>
            <w:tcW w:w="2265" w:type="dxa"/>
          </w:tcPr>
          <w:p w14:paraId="25FB3A61" w14:textId="36120E12" w:rsidR="003C2637" w:rsidRDefault="003C2637" w:rsidP="003C2637">
            <w:pPr>
              <w:jc w:val="both"/>
              <w:rPr>
                <w:b/>
                <w:bCs/>
              </w:rPr>
            </w:pPr>
          </w:p>
          <w:p w14:paraId="6DB2A96B" w14:textId="449C219E" w:rsidR="003C2637" w:rsidRPr="000D5D54" w:rsidRDefault="003C2637" w:rsidP="003C2637">
            <w:pPr>
              <w:jc w:val="both"/>
              <w:rPr>
                <w:b/>
                <w:bCs/>
              </w:rPr>
            </w:pPr>
            <w:r w:rsidRPr="000D5D54">
              <w:rPr>
                <w:b/>
              </w:rPr>
              <w:t>Examen médical de reprise pour les travailleurs faisant l'objet d'un suivi individuel renforcé</w:t>
            </w:r>
          </w:p>
          <w:p w14:paraId="0A1A186C" w14:textId="2E44F1C1" w:rsidR="003C2637" w:rsidRDefault="003C2637" w:rsidP="003C2637">
            <w:pPr>
              <w:jc w:val="both"/>
              <w:rPr>
                <w:b/>
                <w:bCs/>
              </w:rPr>
            </w:pPr>
          </w:p>
        </w:tc>
        <w:tc>
          <w:tcPr>
            <w:tcW w:w="2265" w:type="dxa"/>
          </w:tcPr>
          <w:p w14:paraId="2627A38E" w14:textId="77777777" w:rsidR="003C2637" w:rsidRDefault="003C2637" w:rsidP="003C2637">
            <w:pPr>
              <w:jc w:val="both"/>
              <w:rPr>
                <w:b/>
                <w:bCs/>
              </w:rPr>
            </w:pPr>
          </w:p>
        </w:tc>
        <w:tc>
          <w:tcPr>
            <w:tcW w:w="2266" w:type="dxa"/>
          </w:tcPr>
          <w:p w14:paraId="3E849D7F" w14:textId="77777777" w:rsidR="003C2637" w:rsidRDefault="003C2637" w:rsidP="003C2637">
            <w:pPr>
              <w:jc w:val="both"/>
              <w:rPr>
                <w:b/>
                <w:bCs/>
              </w:rPr>
            </w:pPr>
          </w:p>
          <w:p w14:paraId="59BA3A87" w14:textId="74CA956F" w:rsidR="003C2637" w:rsidRDefault="003C2637" w:rsidP="003C2637">
            <w:pPr>
              <w:jc w:val="both"/>
              <w:rPr>
                <w:b/>
                <w:bCs/>
              </w:rPr>
            </w:pPr>
            <w:r>
              <w:rPr>
                <w:b/>
                <w:bCs/>
              </w:rPr>
              <w:t>X</w:t>
            </w:r>
          </w:p>
        </w:tc>
        <w:tc>
          <w:tcPr>
            <w:tcW w:w="2266" w:type="dxa"/>
          </w:tcPr>
          <w:p w14:paraId="586432DF" w14:textId="77777777" w:rsidR="003C2637" w:rsidRDefault="003C2637" w:rsidP="003C2637">
            <w:pPr>
              <w:jc w:val="both"/>
              <w:rPr>
                <w:b/>
                <w:bCs/>
              </w:rPr>
            </w:pPr>
          </w:p>
        </w:tc>
      </w:tr>
      <w:tr w:rsidR="003C2637" w14:paraId="15DBFB71" w14:textId="77777777" w:rsidTr="00F26E96">
        <w:tc>
          <w:tcPr>
            <w:tcW w:w="2265" w:type="dxa"/>
          </w:tcPr>
          <w:p w14:paraId="38E13BC3" w14:textId="77777777" w:rsidR="003C2637" w:rsidRDefault="003C2637" w:rsidP="003C2637">
            <w:pPr>
              <w:jc w:val="both"/>
              <w:rPr>
                <w:b/>
                <w:bCs/>
              </w:rPr>
            </w:pPr>
          </w:p>
          <w:p w14:paraId="049083EB" w14:textId="1A4F75AB" w:rsidR="003C2637" w:rsidRDefault="003C2637" w:rsidP="003C2637">
            <w:pPr>
              <w:jc w:val="both"/>
              <w:rPr>
                <w:b/>
                <w:bCs/>
              </w:rPr>
            </w:pPr>
            <w:r>
              <w:rPr>
                <w:b/>
                <w:bCs/>
              </w:rPr>
              <w:t>Examen médical de reprise pour :</w:t>
            </w:r>
          </w:p>
          <w:p w14:paraId="7561F0D8" w14:textId="4B8DBFDF" w:rsidR="003C2637" w:rsidRDefault="003C2637" w:rsidP="003C2637">
            <w:pPr>
              <w:jc w:val="both"/>
              <w:rPr>
                <w:b/>
                <w:bCs/>
              </w:rPr>
            </w:pPr>
          </w:p>
          <w:p w14:paraId="1806BA96" w14:textId="04971712" w:rsidR="003C2637" w:rsidRDefault="003C2637" w:rsidP="003C2637">
            <w:pPr>
              <w:jc w:val="both"/>
              <w:rPr>
                <w:b/>
                <w:bCs/>
              </w:rPr>
            </w:pPr>
          </w:p>
          <w:p w14:paraId="56BF0BE4" w14:textId="77777777" w:rsidR="003C2637" w:rsidRDefault="003C2637" w:rsidP="003C2637">
            <w:pPr>
              <w:jc w:val="both"/>
            </w:pPr>
            <w:r>
              <w:t xml:space="preserve">-les </w:t>
            </w:r>
            <w:r w:rsidRPr="00C73C99">
              <w:rPr>
                <w:b/>
              </w:rPr>
              <w:t>travailleurs handicapés</w:t>
            </w:r>
            <w:r>
              <w:t xml:space="preserve"> ; </w:t>
            </w:r>
          </w:p>
          <w:p w14:paraId="7A380563" w14:textId="77777777" w:rsidR="003C2637" w:rsidRDefault="003C2637" w:rsidP="003C2637">
            <w:pPr>
              <w:jc w:val="both"/>
            </w:pPr>
            <w:r>
              <w:t xml:space="preserve">-les </w:t>
            </w:r>
            <w:r w:rsidRPr="00C73C99">
              <w:t xml:space="preserve">travailleurs qui </w:t>
            </w:r>
            <w:r>
              <w:rPr>
                <w:b/>
              </w:rPr>
              <w:t>déclarent</w:t>
            </w:r>
            <w:r w:rsidRPr="00C73C99">
              <w:rPr>
                <w:b/>
              </w:rPr>
              <w:t xml:space="preserve"> être titulaires d’une pension d’invalidité</w:t>
            </w:r>
            <w:r>
              <w:t xml:space="preserve"> ; </w:t>
            </w:r>
          </w:p>
          <w:p w14:paraId="5233A5D1" w14:textId="77777777" w:rsidR="003C2637" w:rsidRDefault="003C2637" w:rsidP="003C2637">
            <w:pPr>
              <w:jc w:val="both"/>
            </w:pPr>
            <w:r>
              <w:t xml:space="preserve">-les </w:t>
            </w:r>
            <w:r w:rsidRPr="00C73C99">
              <w:rPr>
                <w:b/>
              </w:rPr>
              <w:t>femmes enceintes, venant d’accoucher ou allaitantes </w:t>
            </w:r>
            <w:r>
              <w:t xml:space="preserve">; </w:t>
            </w:r>
          </w:p>
          <w:p w14:paraId="226D30B3" w14:textId="77777777" w:rsidR="003C2637" w:rsidRDefault="003C2637" w:rsidP="003C2637">
            <w:pPr>
              <w:jc w:val="both"/>
            </w:pPr>
            <w:r>
              <w:t xml:space="preserve">-les travailleurs âgés de </w:t>
            </w:r>
            <w:r w:rsidRPr="00C73C99">
              <w:rPr>
                <w:b/>
              </w:rPr>
              <w:t>moins de 18 ans</w:t>
            </w:r>
            <w:r>
              <w:t> ;</w:t>
            </w:r>
          </w:p>
          <w:p w14:paraId="51F1FA79" w14:textId="77777777" w:rsidR="003C2637" w:rsidRDefault="003C2637" w:rsidP="003C2637">
            <w:pPr>
              <w:jc w:val="both"/>
            </w:pPr>
            <w:r>
              <w:t xml:space="preserve">-les travailleurs de </w:t>
            </w:r>
            <w:r w:rsidRPr="00C73C99">
              <w:rPr>
                <w:b/>
              </w:rPr>
              <w:t>nuit</w:t>
            </w:r>
            <w:r>
              <w:t> ;</w:t>
            </w:r>
          </w:p>
          <w:p w14:paraId="4B22DDAE" w14:textId="77777777" w:rsidR="003C2637" w:rsidRDefault="003C2637" w:rsidP="003C2637">
            <w:pPr>
              <w:jc w:val="both"/>
            </w:pPr>
            <w:r>
              <w:t xml:space="preserve">-les travailleurs exposés à des </w:t>
            </w:r>
            <w:r w:rsidRPr="00C73C99">
              <w:rPr>
                <w:b/>
              </w:rPr>
              <w:t>champs électromagnétiques</w:t>
            </w:r>
            <w:r>
              <w:t xml:space="preserve"> </w:t>
            </w:r>
            <w:r w:rsidRPr="00470685">
              <w:t>affectés à des postes pour lesquels les valeurs limites d’exposition fixées à l’article R. 4453-3 du code du travail sont dépassées ;</w:t>
            </w:r>
            <w:r w:rsidRPr="002A0BA7">
              <w:t xml:space="preserve"> </w:t>
            </w:r>
          </w:p>
          <w:p w14:paraId="139F415E" w14:textId="77777777" w:rsidR="003C2637" w:rsidRPr="00C73C99" w:rsidRDefault="003C2637" w:rsidP="003C2637">
            <w:pPr>
              <w:jc w:val="both"/>
              <w:rPr>
                <w:b/>
              </w:rPr>
            </w:pPr>
            <w:r>
              <w:t>-l</w:t>
            </w:r>
            <w:r w:rsidRPr="002A0BA7">
              <w:t xml:space="preserve">es travailleurs exposés à des </w:t>
            </w:r>
            <w:r w:rsidRPr="00C73C99">
              <w:rPr>
                <w:b/>
              </w:rPr>
              <w:t>agents biologiques de groupe 2 ;</w:t>
            </w:r>
          </w:p>
          <w:p w14:paraId="37EC4675" w14:textId="596EA3D8" w:rsidR="003C2637" w:rsidRDefault="003C2637" w:rsidP="003C2637">
            <w:pPr>
              <w:jc w:val="both"/>
              <w:rPr>
                <w:b/>
                <w:bCs/>
              </w:rPr>
            </w:pPr>
          </w:p>
        </w:tc>
        <w:tc>
          <w:tcPr>
            <w:tcW w:w="2265" w:type="dxa"/>
          </w:tcPr>
          <w:p w14:paraId="7E57BDE8" w14:textId="77777777" w:rsidR="003C2637" w:rsidRDefault="003C2637" w:rsidP="003C2637">
            <w:pPr>
              <w:jc w:val="both"/>
              <w:rPr>
                <w:b/>
                <w:bCs/>
              </w:rPr>
            </w:pPr>
          </w:p>
        </w:tc>
        <w:tc>
          <w:tcPr>
            <w:tcW w:w="2266" w:type="dxa"/>
          </w:tcPr>
          <w:p w14:paraId="1F3D6B0F" w14:textId="77777777" w:rsidR="003C2637" w:rsidRDefault="003C2637" w:rsidP="003C2637">
            <w:pPr>
              <w:jc w:val="both"/>
              <w:rPr>
                <w:b/>
                <w:bCs/>
              </w:rPr>
            </w:pPr>
          </w:p>
          <w:p w14:paraId="071D7175" w14:textId="74031FB8" w:rsidR="003C2637" w:rsidRDefault="003C2637" w:rsidP="003C2637">
            <w:pPr>
              <w:jc w:val="both"/>
              <w:rPr>
                <w:b/>
                <w:bCs/>
              </w:rPr>
            </w:pPr>
            <w:r>
              <w:rPr>
                <w:b/>
                <w:bCs/>
              </w:rPr>
              <w:t>X</w:t>
            </w:r>
          </w:p>
        </w:tc>
        <w:tc>
          <w:tcPr>
            <w:tcW w:w="2266" w:type="dxa"/>
          </w:tcPr>
          <w:p w14:paraId="62AFACF8" w14:textId="77777777" w:rsidR="003C2637" w:rsidRDefault="003C2637" w:rsidP="003C2637">
            <w:pPr>
              <w:jc w:val="both"/>
              <w:rPr>
                <w:b/>
                <w:bCs/>
              </w:rPr>
            </w:pPr>
          </w:p>
          <w:p w14:paraId="0F9658DE" w14:textId="016B9A5A" w:rsidR="003C2637" w:rsidRDefault="003C2637" w:rsidP="003C2637">
            <w:pPr>
              <w:jc w:val="both"/>
              <w:rPr>
                <w:b/>
                <w:bCs/>
              </w:rPr>
            </w:pPr>
            <w:r>
              <w:rPr>
                <w:b/>
                <w:bCs/>
              </w:rPr>
              <w:t>X</w:t>
            </w:r>
          </w:p>
        </w:tc>
      </w:tr>
    </w:tbl>
    <w:p w14:paraId="21D756D5" w14:textId="77777777" w:rsidR="00294278" w:rsidRDefault="00294278" w:rsidP="00235B7F">
      <w:pPr>
        <w:jc w:val="both"/>
      </w:pPr>
    </w:p>
    <w:p w14:paraId="12765EC9" w14:textId="77777777" w:rsidR="00074BD5" w:rsidRDefault="00074BD5" w:rsidP="00235B7F">
      <w:pPr>
        <w:jc w:val="both"/>
      </w:pPr>
    </w:p>
    <w:p w14:paraId="621F0CE0" w14:textId="77777777" w:rsidR="00BD6464" w:rsidRPr="004E0FDA" w:rsidRDefault="004D3218" w:rsidP="004D3218">
      <w:pPr>
        <w:jc w:val="center"/>
      </w:pPr>
      <w:r>
        <w:t>***</w:t>
      </w:r>
    </w:p>
    <w:sectPr w:rsidR="00BD6464" w:rsidRPr="004E0FDA">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D6CA1" w14:textId="77777777" w:rsidR="00050CD1" w:rsidRDefault="00050CD1" w:rsidP="00652BA5">
      <w:r>
        <w:separator/>
      </w:r>
    </w:p>
  </w:endnote>
  <w:endnote w:type="continuationSeparator" w:id="0">
    <w:p w14:paraId="31BF9A6C" w14:textId="77777777" w:rsidR="00050CD1" w:rsidRDefault="00050CD1" w:rsidP="0065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06280"/>
      <w:docPartObj>
        <w:docPartGallery w:val="Page Numbers (Bottom of Page)"/>
        <w:docPartUnique/>
      </w:docPartObj>
    </w:sdtPr>
    <w:sdtEndPr/>
    <w:sdtContent>
      <w:p w14:paraId="2FFBC74C" w14:textId="24CD93A3" w:rsidR="00652BA5" w:rsidRDefault="00652BA5">
        <w:pPr>
          <w:pStyle w:val="Pieddepage"/>
          <w:jc w:val="right"/>
        </w:pPr>
        <w:r>
          <w:fldChar w:fldCharType="begin"/>
        </w:r>
        <w:r>
          <w:instrText>PAGE   \* MERGEFORMAT</w:instrText>
        </w:r>
        <w:r>
          <w:fldChar w:fldCharType="separate"/>
        </w:r>
        <w:r w:rsidR="00F04F2D">
          <w:rPr>
            <w:noProof/>
          </w:rPr>
          <w:t>6</w:t>
        </w:r>
        <w:r>
          <w:fldChar w:fldCharType="end"/>
        </w:r>
      </w:p>
    </w:sdtContent>
  </w:sdt>
  <w:p w14:paraId="691984A0" w14:textId="77777777" w:rsidR="00652BA5" w:rsidRDefault="00652B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CD252" w14:textId="77777777" w:rsidR="00050CD1" w:rsidRDefault="00050CD1" w:rsidP="00652BA5">
      <w:r>
        <w:separator/>
      </w:r>
    </w:p>
  </w:footnote>
  <w:footnote w:type="continuationSeparator" w:id="0">
    <w:p w14:paraId="7F3B9DD6" w14:textId="77777777" w:rsidR="00050CD1" w:rsidRDefault="00050CD1" w:rsidP="00652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5B425" w14:textId="77777777" w:rsidR="00652BA5" w:rsidRDefault="00652BA5">
    <w:pPr>
      <w:pStyle w:val="En-tte"/>
    </w:pPr>
    <w:r>
      <w:t>Actualité</w:t>
    </w:r>
    <w:r w:rsidR="006969B0">
      <w:t>s</w:t>
    </w:r>
    <w:r>
      <w:t xml:space="preserve"> </w:t>
    </w:r>
    <w:proofErr w:type="spellStart"/>
    <w:r>
      <w:t>juridique</w:t>
    </w:r>
    <w:r w:rsidR="006969B0">
      <w:t>s</w:t>
    </w:r>
    <w:r w:rsidR="00074BD5">
      <w:t>_Janvier</w:t>
    </w:r>
    <w:proofErr w:type="spellEnd"/>
    <w:r w:rsidR="00235B7F">
      <w:t xml:space="preserve"> 2</w:t>
    </w:r>
    <w:r>
      <w:t>02</w:t>
    </w:r>
    <w:r w:rsidR="00074BD5">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73471"/>
    <w:multiLevelType w:val="hybridMultilevel"/>
    <w:tmpl w:val="C1380F4C"/>
    <w:lvl w:ilvl="0" w:tplc="D182E5A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1F6267"/>
    <w:multiLevelType w:val="multilevel"/>
    <w:tmpl w:val="A1DCD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771EA"/>
    <w:multiLevelType w:val="hybridMultilevel"/>
    <w:tmpl w:val="C13006BE"/>
    <w:lvl w:ilvl="0" w:tplc="45E2588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CB20872"/>
    <w:multiLevelType w:val="hybridMultilevel"/>
    <w:tmpl w:val="B32AC8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EA14CF"/>
    <w:multiLevelType w:val="hybridMultilevel"/>
    <w:tmpl w:val="B192D364"/>
    <w:lvl w:ilvl="0" w:tplc="514EB7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D40951"/>
    <w:multiLevelType w:val="hybridMultilevel"/>
    <w:tmpl w:val="7AC697A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2FCE3673"/>
    <w:multiLevelType w:val="multilevel"/>
    <w:tmpl w:val="0E3C6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71F17"/>
    <w:multiLevelType w:val="hybridMultilevel"/>
    <w:tmpl w:val="962EEC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612E2E"/>
    <w:multiLevelType w:val="multilevel"/>
    <w:tmpl w:val="8F50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224BF8"/>
    <w:multiLevelType w:val="hybridMultilevel"/>
    <w:tmpl w:val="BAC48B08"/>
    <w:lvl w:ilvl="0" w:tplc="C4429670">
      <w:start w:val="2"/>
      <w:numFmt w:val="bullet"/>
      <w:lvlText w:val="-"/>
      <w:lvlJc w:val="left"/>
      <w:pPr>
        <w:ind w:left="720" w:hanging="360"/>
      </w:pPr>
      <w:rPr>
        <w:rFonts w:ascii="Calibri" w:eastAsiaTheme="minorHAnsi" w:hAnsi="Calibri" w:cstheme="minorBidi"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5E7C55"/>
    <w:multiLevelType w:val="hybridMultilevel"/>
    <w:tmpl w:val="4C0CC9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1E7524"/>
    <w:multiLevelType w:val="hybridMultilevel"/>
    <w:tmpl w:val="B464E748"/>
    <w:lvl w:ilvl="0" w:tplc="5BB22AB4">
      <w:start w:val="2"/>
      <w:numFmt w:val="bullet"/>
      <w:lvlText w:val="-"/>
      <w:lvlJc w:val="left"/>
      <w:pPr>
        <w:ind w:left="408" w:hanging="360"/>
      </w:pPr>
      <w:rPr>
        <w:rFonts w:ascii="Calibri" w:eastAsiaTheme="minorHAnsi" w:hAnsi="Calibri" w:cstheme="minorBidi" w:hint="default"/>
      </w:rPr>
    </w:lvl>
    <w:lvl w:ilvl="1" w:tplc="040C0003">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2" w15:restartNumberingAfterBreak="0">
    <w:nsid w:val="638C338C"/>
    <w:multiLevelType w:val="multilevel"/>
    <w:tmpl w:val="8BD63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F68C8"/>
    <w:multiLevelType w:val="multilevel"/>
    <w:tmpl w:val="392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
  </w:num>
  <w:num w:numId="5">
    <w:abstractNumId w:val="6"/>
  </w:num>
  <w:num w:numId="6">
    <w:abstractNumId w:val="12"/>
  </w:num>
  <w:num w:numId="7">
    <w:abstractNumId w:val="7"/>
  </w:num>
  <w:num w:numId="8">
    <w:abstractNumId w:val="0"/>
  </w:num>
  <w:num w:numId="9">
    <w:abstractNumId w:val="3"/>
  </w:num>
  <w:num w:numId="10">
    <w:abstractNumId w:val="2"/>
  </w:num>
  <w:num w:numId="11">
    <w:abstractNumId w:val="11"/>
  </w:num>
  <w:num w:numId="12">
    <w:abstractNumId w:val="4"/>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72"/>
    <w:rsid w:val="00044C01"/>
    <w:rsid w:val="00050CD1"/>
    <w:rsid w:val="000568B8"/>
    <w:rsid w:val="00074BD5"/>
    <w:rsid w:val="000D5D54"/>
    <w:rsid w:val="001153CB"/>
    <w:rsid w:val="0012527F"/>
    <w:rsid w:val="001C5054"/>
    <w:rsid w:val="001D52DE"/>
    <w:rsid w:val="001F165B"/>
    <w:rsid w:val="00204851"/>
    <w:rsid w:val="0021325B"/>
    <w:rsid w:val="0023194B"/>
    <w:rsid w:val="00235B7F"/>
    <w:rsid w:val="0026532E"/>
    <w:rsid w:val="00276BA7"/>
    <w:rsid w:val="002812D2"/>
    <w:rsid w:val="00294278"/>
    <w:rsid w:val="002A0BA7"/>
    <w:rsid w:val="002B042F"/>
    <w:rsid w:val="002B52B4"/>
    <w:rsid w:val="002E05DF"/>
    <w:rsid w:val="003019EA"/>
    <w:rsid w:val="00336B9D"/>
    <w:rsid w:val="00374C23"/>
    <w:rsid w:val="003A4F02"/>
    <w:rsid w:val="003C18FF"/>
    <w:rsid w:val="003C2637"/>
    <w:rsid w:val="003E7942"/>
    <w:rsid w:val="00420832"/>
    <w:rsid w:val="00470685"/>
    <w:rsid w:val="004D3218"/>
    <w:rsid w:val="004E0FDA"/>
    <w:rsid w:val="00514105"/>
    <w:rsid w:val="005513E4"/>
    <w:rsid w:val="00586433"/>
    <w:rsid w:val="00603CE3"/>
    <w:rsid w:val="00627B5C"/>
    <w:rsid w:val="00652BA5"/>
    <w:rsid w:val="00677C0A"/>
    <w:rsid w:val="00681422"/>
    <w:rsid w:val="006969B0"/>
    <w:rsid w:val="006F540D"/>
    <w:rsid w:val="006F7B0B"/>
    <w:rsid w:val="0071097B"/>
    <w:rsid w:val="00722A12"/>
    <w:rsid w:val="007A292E"/>
    <w:rsid w:val="00821189"/>
    <w:rsid w:val="00827D96"/>
    <w:rsid w:val="00844408"/>
    <w:rsid w:val="00845D15"/>
    <w:rsid w:val="00850B5E"/>
    <w:rsid w:val="0087095C"/>
    <w:rsid w:val="008842A0"/>
    <w:rsid w:val="00896572"/>
    <w:rsid w:val="008D6BB4"/>
    <w:rsid w:val="008E2EA7"/>
    <w:rsid w:val="008F2842"/>
    <w:rsid w:val="008F3450"/>
    <w:rsid w:val="00905338"/>
    <w:rsid w:val="00906BFB"/>
    <w:rsid w:val="00941663"/>
    <w:rsid w:val="00951ED4"/>
    <w:rsid w:val="00953863"/>
    <w:rsid w:val="0095708C"/>
    <w:rsid w:val="009F0894"/>
    <w:rsid w:val="00A13B84"/>
    <w:rsid w:val="00AA0678"/>
    <w:rsid w:val="00AA4ABE"/>
    <w:rsid w:val="00AC4C62"/>
    <w:rsid w:val="00AC7EEE"/>
    <w:rsid w:val="00AE0B40"/>
    <w:rsid w:val="00AF588F"/>
    <w:rsid w:val="00AF77E4"/>
    <w:rsid w:val="00AF7869"/>
    <w:rsid w:val="00B01D9A"/>
    <w:rsid w:val="00B334DD"/>
    <w:rsid w:val="00B37DAB"/>
    <w:rsid w:val="00B4002C"/>
    <w:rsid w:val="00BB079D"/>
    <w:rsid w:val="00BC2FF6"/>
    <w:rsid w:val="00BD6464"/>
    <w:rsid w:val="00C1005A"/>
    <w:rsid w:val="00C541D6"/>
    <w:rsid w:val="00C64CE3"/>
    <w:rsid w:val="00C73C99"/>
    <w:rsid w:val="00C904B8"/>
    <w:rsid w:val="00C96751"/>
    <w:rsid w:val="00CB2B18"/>
    <w:rsid w:val="00CB6937"/>
    <w:rsid w:val="00D36596"/>
    <w:rsid w:val="00D55EA1"/>
    <w:rsid w:val="00D6019E"/>
    <w:rsid w:val="00D870CF"/>
    <w:rsid w:val="00D958D5"/>
    <w:rsid w:val="00DA7B1D"/>
    <w:rsid w:val="00DC376A"/>
    <w:rsid w:val="00DD49F8"/>
    <w:rsid w:val="00DF2BE8"/>
    <w:rsid w:val="00E001EC"/>
    <w:rsid w:val="00E033FA"/>
    <w:rsid w:val="00E804AE"/>
    <w:rsid w:val="00E86477"/>
    <w:rsid w:val="00E97E7B"/>
    <w:rsid w:val="00EC4795"/>
    <w:rsid w:val="00ED0746"/>
    <w:rsid w:val="00F04F2D"/>
    <w:rsid w:val="00F2121B"/>
    <w:rsid w:val="00F26E96"/>
    <w:rsid w:val="00F33C06"/>
    <w:rsid w:val="00FA039A"/>
    <w:rsid w:val="00FA6CF1"/>
    <w:rsid w:val="00FE7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E811C3"/>
  <w15:chartTrackingRefBased/>
  <w15:docId w15:val="{0C5562BA-1911-46F9-8C77-4BF000A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21B"/>
    <w:pPr>
      <w:spacing w:after="0" w:line="240" w:lineRule="auto"/>
    </w:pPr>
  </w:style>
  <w:style w:type="paragraph" w:styleId="Titre1">
    <w:name w:val="heading 1"/>
    <w:basedOn w:val="Normal"/>
    <w:next w:val="Normal"/>
    <w:link w:val="Titre1Car"/>
    <w:uiPriority w:val="9"/>
    <w:qFormat/>
    <w:rsid w:val="00B334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967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B334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6572"/>
    <w:pPr>
      <w:spacing w:before="100" w:beforeAutospacing="1" w:after="100" w:afterAutospacing="1"/>
    </w:pPr>
    <w:rPr>
      <w:rFonts w:ascii="Times New Roman" w:hAnsi="Times New Roman" w:cs="Times New Roman"/>
      <w:sz w:val="24"/>
      <w:szCs w:val="24"/>
      <w:lang w:eastAsia="fr-FR"/>
    </w:rPr>
  </w:style>
  <w:style w:type="paragraph" w:styleId="Paragraphedeliste">
    <w:name w:val="List Paragraph"/>
    <w:basedOn w:val="Normal"/>
    <w:uiPriority w:val="34"/>
    <w:qFormat/>
    <w:rsid w:val="00896572"/>
    <w:pPr>
      <w:ind w:left="720"/>
    </w:pPr>
  </w:style>
  <w:style w:type="character" w:styleId="lev">
    <w:name w:val="Strong"/>
    <w:basedOn w:val="Policepardfaut"/>
    <w:uiPriority w:val="22"/>
    <w:qFormat/>
    <w:rsid w:val="00896572"/>
    <w:rPr>
      <w:b/>
      <w:bCs/>
    </w:rPr>
  </w:style>
  <w:style w:type="character" w:styleId="Lienhypertexte">
    <w:name w:val="Hyperlink"/>
    <w:basedOn w:val="Policepardfaut"/>
    <w:uiPriority w:val="99"/>
    <w:unhideWhenUsed/>
    <w:rsid w:val="00896572"/>
    <w:rPr>
      <w:color w:val="0000FF"/>
      <w:u w:val="single"/>
    </w:rPr>
  </w:style>
  <w:style w:type="table" w:styleId="Grilledutableau">
    <w:name w:val="Table Grid"/>
    <w:basedOn w:val="TableauNormal"/>
    <w:uiPriority w:val="39"/>
    <w:rsid w:val="00ED0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05A"/>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1C5054"/>
    <w:rPr>
      <w:i/>
      <w:iCs/>
    </w:rPr>
  </w:style>
  <w:style w:type="paragraph" w:customStyle="1" w:styleId="text-build-content">
    <w:name w:val="text-build-content"/>
    <w:basedOn w:val="Normal"/>
    <w:rsid w:val="003E7942"/>
    <w:pPr>
      <w:spacing w:before="195" w:after="195"/>
    </w:pPr>
    <w:rPr>
      <w:rFonts w:ascii="Times New Roman" w:hAnsi="Times New Roman" w:cs="Times New Roman"/>
      <w:sz w:val="24"/>
      <w:szCs w:val="24"/>
      <w:lang w:eastAsia="fr-FR"/>
    </w:rPr>
  </w:style>
  <w:style w:type="paragraph" w:styleId="En-tte">
    <w:name w:val="header"/>
    <w:basedOn w:val="Normal"/>
    <w:link w:val="En-tteCar"/>
    <w:uiPriority w:val="99"/>
    <w:unhideWhenUsed/>
    <w:rsid w:val="00652BA5"/>
    <w:pPr>
      <w:tabs>
        <w:tab w:val="center" w:pos="4536"/>
        <w:tab w:val="right" w:pos="9072"/>
      </w:tabs>
    </w:pPr>
  </w:style>
  <w:style w:type="character" w:customStyle="1" w:styleId="En-tteCar">
    <w:name w:val="En-tête Car"/>
    <w:basedOn w:val="Policepardfaut"/>
    <w:link w:val="En-tte"/>
    <w:uiPriority w:val="99"/>
    <w:rsid w:val="00652BA5"/>
  </w:style>
  <w:style w:type="paragraph" w:styleId="Pieddepage">
    <w:name w:val="footer"/>
    <w:basedOn w:val="Normal"/>
    <w:link w:val="PieddepageCar"/>
    <w:uiPriority w:val="99"/>
    <w:unhideWhenUsed/>
    <w:rsid w:val="00652BA5"/>
    <w:pPr>
      <w:tabs>
        <w:tab w:val="center" w:pos="4536"/>
        <w:tab w:val="right" w:pos="9072"/>
      </w:tabs>
    </w:pPr>
  </w:style>
  <w:style w:type="character" w:customStyle="1" w:styleId="PieddepageCar">
    <w:name w:val="Pied de page Car"/>
    <w:basedOn w:val="Policepardfaut"/>
    <w:link w:val="Pieddepage"/>
    <w:uiPriority w:val="99"/>
    <w:rsid w:val="00652BA5"/>
  </w:style>
  <w:style w:type="paragraph" w:styleId="Textedebulles">
    <w:name w:val="Balloon Text"/>
    <w:basedOn w:val="Normal"/>
    <w:link w:val="TextedebullesCar"/>
    <w:uiPriority w:val="99"/>
    <w:semiHidden/>
    <w:unhideWhenUsed/>
    <w:rsid w:val="00374C2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4C23"/>
    <w:rPr>
      <w:rFonts w:ascii="Segoe UI" w:hAnsi="Segoe UI" w:cs="Segoe UI"/>
      <w:sz w:val="18"/>
      <w:szCs w:val="18"/>
    </w:rPr>
  </w:style>
  <w:style w:type="character" w:customStyle="1" w:styleId="Titre1Car">
    <w:name w:val="Titre 1 Car"/>
    <w:basedOn w:val="Policepardfaut"/>
    <w:link w:val="Titre1"/>
    <w:uiPriority w:val="9"/>
    <w:rsid w:val="00B334DD"/>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B334DD"/>
    <w:rPr>
      <w:rFonts w:asciiTheme="majorHAnsi" w:eastAsiaTheme="majorEastAsia" w:hAnsiTheme="majorHAnsi" w:cstheme="majorBidi"/>
      <w:i/>
      <w:iCs/>
      <w:color w:val="2E74B5" w:themeColor="accent1" w:themeShade="BF"/>
    </w:rPr>
  </w:style>
  <w:style w:type="character" w:customStyle="1" w:styleId="Titre2Car">
    <w:name w:val="Titre 2 Car"/>
    <w:basedOn w:val="Policepardfaut"/>
    <w:link w:val="Titre2"/>
    <w:uiPriority w:val="9"/>
    <w:semiHidden/>
    <w:rsid w:val="00C9675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340">
      <w:bodyDiv w:val="1"/>
      <w:marLeft w:val="0"/>
      <w:marRight w:val="0"/>
      <w:marTop w:val="0"/>
      <w:marBottom w:val="0"/>
      <w:divBdr>
        <w:top w:val="none" w:sz="0" w:space="0" w:color="auto"/>
        <w:left w:val="none" w:sz="0" w:space="0" w:color="auto"/>
        <w:bottom w:val="none" w:sz="0" w:space="0" w:color="auto"/>
        <w:right w:val="none" w:sz="0" w:space="0" w:color="auto"/>
      </w:divBdr>
    </w:div>
    <w:div w:id="51927765">
      <w:bodyDiv w:val="1"/>
      <w:marLeft w:val="0"/>
      <w:marRight w:val="0"/>
      <w:marTop w:val="0"/>
      <w:marBottom w:val="0"/>
      <w:divBdr>
        <w:top w:val="none" w:sz="0" w:space="0" w:color="auto"/>
        <w:left w:val="none" w:sz="0" w:space="0" w:color="auto"/>
        <w:bottom w:val="none" w:sz="0" w:space="0" w:color="auto"/>
        <w:right w:val="none" w:sz="0" w:space="0" w:color="auto"/>
      </w:divBdr>
    </w:div>
    <w:div w:id="473450571">
      <w:bodyDiv w:val="1"/>
      <w:marLeft w:val="0"/>
      <w:marRight w:val="0"/>
      <w:marTop w:val="0"/>
      <w:marBottom w:val="0"/>
      <w:divBdr>
        <w:top w:val="none" w:sz="0" w:space="0" w:color="auto"/>
        <w:left w:val="none" w:sz="0" w:space="0" w:color="auto"/>
        <w:bottom w:val="none" w:sz="0" w:space="0" w:color="auto"/>
        <w:right w:val="none" w:sz="0" w:space="0" w:color="auto"/>
      </w:divBdr>
    </w:div>
    <w:div w:id="514461974">
      <w:bodyDiv w:val="1"/>
      <w:marLeft w:val="0"/>
      <w:marRight w:val="0"/>
      <w:marTop w:val="0"/>
      <w:marBottom w:val="0"/>
      <w:divBdr>
        <w:top w:val="none" w:sz="0" w:space="0" w:color="auto"/>
        <w:left w:val="none" w:sz="0" w:space="0" w:color="auto"/>
        <w:bottom w:val="none" w:sz="0" w:space="0" w:color="auto"/>
        <w:right w:val="none" w:sz="0" w:space="0" w:color="auto"/>
      </w:divBdr>
    </w:div>
    <w:div w:id="722828020">
      <w:bodyDiv w:val="1"/>
      <w:marLeft w:val="0"/>
      <w:marRight w:val="0"/>
      <w:marTop w:val="0"/>
      <w:marBottom w:val="0"/>
      <w:divBdr>
        <w:top w:val="none" w:sz="0" w:space="0" w:color="auto"/>
        <w:left w:val="none" w:sz="0" w:space="0" w:color="auto"/>
        <w:bottom w:val="none" w:sz="0" w:space="0" w:color="auto"/>
        <w:right w:val="none" w:sz="0" w:space="0" w:color="auto"/>
      </w:divBdr>
    </w:div>
    <w:div w:id="866600306">
      <w:bodyDiv w:val="1"/>
      <w:marLeft w:val="0"/>
      <w:marRight w:val="0"/>
      <w:marTop w:val="0"/>
      <w:marBottom w:val="0"/>
      <w:divBdr>
        <w:top w:val="none" w:sz="0" w:space="0" w:color="auto"/>
        <w:left w:val="none" w:sz="0" w:space="0" w:color="auto"/>
        <w:bottom w:val="none" w:sz="0" w:space="0" w:color="auto"/>
        <w:right w:val="none" w:sz="0" w:space="0" w:color="auto"/>
      </w:divBdr>
    </w:div>
    <w:div w:id="867987784">
      <w:bodyDiv w:val="1"/>
      <w:marLeft w:val="0"/>
      <w:marRight w:val="0"/>
      <w:marTop w:val="0"/>
      <w:marBottom w:val="0"/>
      <w:divBdr>
        <w:top w:val="none" w:sz="0" w:space="0" w:color="auto"/>
        <w:left w:val="none" w:sz="0" w:space="0" w:color="auto"/>
        <w:bottom w:val="none" w:sz="0" w:space="0" w:color="auto"/>
        <w:right w:val="none" w:sz="0" w:space="0" w:color="auto"/>
      </w:divBdr>
    </w:div>
    <w:div w:id="935401842">
      <w:bodyDiv w:val="1"/>
      <w:marLeft w:val="0"/>
      <w:marRight w:val="0"/>
      <w:marTop w:val="0"/>
      <w:marBottom w:val="0"/>
      <w:divBdr>
        <w:top w:val="none" w:sz="0" w:space="0" w:color="auto"/>
        <w:left w:val="none" w:sz="0" w:space="0" w:color="auto"/>
        <w:bottom w:val="none" w:sz="0" w:space="0" w:color="auto"/>
        <w:right w:val="none" w:sz="0" w:space="0" w:color="auto"/>
      </w:divBdr>
    </w:div>
    <w:div w:id="939290666">
      <w:bodyDiv w:val="1"/>
      <w:marLeft w:val="0"/>
      <w:marRight w:val="0"/>
      <w:marTop w:val="0"/>
      <w:marBottom w:val="0"/>
      <w:divBdr>
        <w:top w:val="none" w:sz="0" w:space="0" w:color="auto"/>
        <w:left w:val="none" w:sz="0" w:space="0" w:color="auto"/>
        <w:bottom w:val="none" w:sz="0" w:space="0" w:color="auto"/>
        <w:right w:val="none" w:sz="0" w:space="0" w:color="auto"/>
      </w:divBdr>
    </w:div>
    <w:div w:id="969749237">
      <w:bodyDiv w:val="1"/>
      <w:marLeft w:val="0"/>
      <w:marRight w:val="0"/>
      <w:marTop w:val="0"/>
      <w:marBottom w:val="0"/>
      <w:divBdr>
        <w:top w:val="none" w:sz="0" w:space="0" w:color="auto"/>
        <w:left w:val="none" w:sz="0" w:space="0" w:color="auto"/>
        <w:bottom w:val="none" w:sz="0" w:space="0" w:color="auto"/>
        <w:right w:val="none" w:sz="0" w:space="0" w:color="auto"/>
      </w:divBdr>
      <w:divsChild>
        <w:div w:id="1620141248">
          <w:marLeft w:val="0"/>
          <w:marRight w:val="0"/>
          <w:marTop w:val="150"/>
          <w:marBottom w:val="0"/>
          <w:divBdr>
            <w:top w:val="none" w:sz="0" w:space="0" w:color="auto"/>
            <w:left w:val="none" w:sz="0" w:space="0" w:color="auto"/>
            <w:bottom w:val="none" w:sz="0" w:space="0" w:color="auto"/>
            <w:right w:val="none" w:sz="0" w:space="0" w:color="auto"/>
          </w:divBdr>
        </w:div>
      </w:divsChild>
    </w:div>
    <w:div w:id="991518246">
      <w:bodyDiv w:val="1"/>
      <w:marLeft w:val="0"/>
      <w:marRight w:val="0"/>
      <w:marTop w:val="0"/>
      <w:marBottom w:val="0"/>
      <w:divBdr>
        <w:top w:val="none" w:sz="0" w:space="0" w:color="auto"/>
        <w:left w:val="none" w:sz="0" w:space="0" w:color="auto"/>
        <w:bottom w:val="none" w:sz="0" w:space="0" w:color="auto"/>
        <w:right w:val="none" w:sz="0" w:space="0" w:color="auto"/>
      </w:divBdr>
    </w:div>
    <w:div w:id="1266232812">
      <w:bodyDiv w:val="1"/>
      <w:marLeft w:val="0"/>
      <w:marRight w:val="0"/>
      <w:marTop w:val="0"/>
      <w:marBottom w:val="0"/>
      <w:divBdr>
        <w:top w:val="none" w:sz="0" w:space="0" w:color="auto"/>
        <w:left w:val="none" w:sz="0" w:space="0" w:color="auto"/>
        <w:bottom w:val="none" w:sz="0" w:space="0" w:color="auto"/>
        <w:right w:val="none" w:sz="0" w:space="0" w:color="auto"/>
      </w:divBdr>
    </w:div>
    <w:div w:id="1397700242">
      <w:bodyDiv w:val="1"/>
      <w:marLeft w:val="0"/>
      <w:marRight w:val="0"/>
      <w:marTop w:val="0"/>
      <w:marBottom w:val="0"/>
      <w:divBdr>
        <w:top w:val="none" w:sz="0" w:space="0" w:color="auto"/>
        <w:left w:val="none" w:sz="0" w:space="0" w:color="auto"/>
        <w:bottom w:val="none" w:sz="0" w:space="0" w:color="auto"/>
        <w:right w:val="none" w:sz="0" w:space="0" w:color="auto"/>
      </w:divBdr>
    </w:div>
    <w:div w:id="1518539530">
      <w:bodyDiv w:val="1"/>
      <w:marLeft w:val="0"/>
      <w:marRight w:val="0"/>
      <w:marTop w:val="0"/>
      <w:marBottom w:val="0"/>
      <w:divBdr>
        <w:top w:val="none" w:sz="0" w:space="0" w:color="auto"/>
        <w:left w:val="none" w:sz="0" w:space="0" w:color="auto"/>
        <w:bottom w:val="none" w:sz="0" w:space="0" w:color="auto"/>
        <w:right w:val="none" w:sz="0" w:space="0" w:color="auto"/>
      </w:divBdr>
    </w:div>
    <w:div w:id="1829595405">
      <w:bodyDiv w:val="1"/>
      <w:marLeft w:val="0"/>
      <w:marRight w:val="0"/>
      <w:marTop w:val="0"/>
      <w:marBottom w:val="0"/>
      <w:divBdr>
        <w:top w:val="none" w:sz="0" w:space="0" w:color="auto"/>
        <w:left w:val="none" w:sz="0" w:space="0" w:color="auto"/>
        <w:bottom w:val="none" w:sz="0" w:space="0" w:color="auto"/>
        <w:right w:val="none" w:sz="0" w:space="0" w:color="auto"/>
      </w:divBdr>
    </w:div>
    <w:div w:id="1911696234">
      <w:bodyDiv w:val="1"/>
      <w:marLeft w:val="0"/>
      <w:marRight w:val="0"/>
      <w:marTop w:val="0"/>
      <w:marBottom w:val="0"/>
      <w:divBdr>
        <w:top w:val="none" w:sz="0" w:space="0" w:color="auto"/>
        <w:left w:val="none" w:sz="0" w:space="0" w:color="auto"/>
        <w:bottom w:val="none" w:sz="0" w:space="0" w:color="auto"/>
        <w:right w:val="none" w:sz="0" w:space="0" w:color="auto"/>
      </w:divBdr>
    </w:div>
    <w:div w:id="1973166854">
      <w:bodyDiv w:val="1"/>
      <w:marLeft w:val="0"/>
      <w:marRight w:val="0"/>
      <w:marTop w:val="0"/>
      <w:marBottom w:val="0"/>
      <w:divBdr>
        <w:top w:val="none" w:sz="0" w:space="0" w:color="auto"/>
        <w:left w:val="none" w:sz="0" w:space="0" w:color="auto"/>
        <w:bottom w:val="none" w:sz="0" w:space="0" w:color="auto"/>
        <w:right w:val="none" w:sz="0" w:space="0" w:color="auto"/>
      </w:divBdr>
      <w:divsChild>
        <w:div w:id="1668627659">
          <w:marLeft w:val="0"/>
          <w:marRight w:val="0"/>
          <w:marTop w:val="0"/>
          <w:marBottom w:val="0"/>
          <w:divBdr>
            <w:top w:val="single" w:sz="6" w:space="11" w:color="DBDBDB"/>
            <w:left w:val="none" w:sz="0" w:space="0" w:color="auto"/>
            <w:bottom w:val="none" w:sz="0" w:space="0" w:color="auto"/>
            <w:right w:val="none" w:sz="0" w:space="0" w:color="auto"/>
          </w:divBdr>
          <w:divsChild>
            <w:div w:id="1729761195">
              <w:marLeft w:val="0"/>
              <w:marRight w:val="0"/>
              <w:marTop w:val="0"/>
              <w:marBottom w:val="0"/>
              <w:divBdr>
                <w:top w:val="none" w:sz="0" w:space="0" w:color="auto"/>
                <w:left w:val="none" w:sz="0" w:space="0" w:color="auto"/>
                <w:bottom w:val="none" w:sz="0" w:space="0" w:color="auto"/>
                <w:right w:val="none" w:sz="0" w:space="0" w:color="auto"/>
              </w:divBdr>
            </w:div>
            <w:div w:id="543559247">
              <w:marLeft w:val="0"/>
              <w:marRight w:val="0"/>
              <w:marTop w:val="0"/>
              <w:marBottom w:val="0"/>
              <w:divBdr>
                <w:top w:val="none" w:sz="0" w:space="0" w:color="auto"/>
                <w:left w:val="none" w:sz="0" w:space="0" w:color="auto"/>
                <w:bottom w:val="none" w:sz="0" w:space="0" w:color="auto"/>
                <w:right w:val="none" w:sz="0" w:space="0" w:color="auto"/>
              </w:divBdr>
            </w:div>
            <w:div w:id="1883790565">
              <w:marLeft w:val="0"/>
              <w:marRight w:val="0"/>
              <w:marTop w:val="75"/>
              <w:marBottom w:val="0"/>
              <w:divBdr>
                <w:top w:val="none" w:sz="0" w:space="0" w:color="auto"/>
                <w:left w:val="none" w:sz="0" w:space="0" w:color="auto"/>
                <w:bottom w:val="none" w:sz="0" w:space="0" w:color="auto"/>
                <w:right w:val="none" w:sz="0" w:space="0" w:color="auto"/>
              </w:divBdr>
            </w:div>
          </w:divsChild>
        </w:div>
        <w:div w:id="1331562335">
          <w:marLeft w:val="0"/>
          <w:marRight w:val="0"/>
          <w:marTop w:val="0"/>
          <w:marBottom w:val="0"/>
          <w:divBdr>
            <w:top w:val="single" w:sz="6" w:space="11" w:color="DBDBDB"/>
            <w:left w:val="none" w:sz="0" w:space="0" w:color="auto"/>
            <w:bottom w:val="none" w:sz="0" w:space="0" w:color="auto"/>
            <w:right w:val="none" w:sz="0" w:space="0" w:color="auto"/>
          </w:divBdr>
          <w:divsChild>
            <w:div w:id="1060858214">
              <w:marLeft w:val="0"/>
              <w:marRight w:val="0"/>
              <w:marTop w:val="0"/>
              <w:marBottom w:val="0"/>
              <w:divBdr>
                <w:top w:val="none" w:sz="0" w:space="0" w:color="auto"/>
                <w:left w:val="none" w:sz="0" w:space="0" w:color="auto"/>
                <w:bottom w:val="none" w:sz="0" w:space="0" w:color="auto"/>
                <w:right w:val="none" w:sz="0" w:space="0" w:color="auto"/>
              </w:divBdr>
            </w:div>
            <w:div w:id="620914310">
              <w:marLeft w:val="0"/>
              <w:marRight w:val="0"/>
              <w:marTop w:val="0"/>
              <w:marBottom w:val="0"/>
              <w:divBdr>
                <w:top w:val="none" w:sz="0" w:space="0" w:color="auto"/>
                <w:left w:val="none" w:sz="0" w:space="0" w:color="auto"/>
                <w:bottom w:val="none" w:sz="0" w:space="0" w:color="auto"/>
                <w:right w:val="none" w:sz="0" w:space="0" w:color="auto"/>
              </w:divBdr>
            </w:div>
          </w:divsChild>
        </w:div>
        <w:div w:id="1105349664">
          <w:marLeft w:val="0"/>
          <w:marRight w:val="0"/>
          <w:marTop w:val="0"/>
          <w:marBottom w:val="0"/>
          <w:divBdr>
            <w:top w:val="single" w:sz="6" w:space="11" w:color="DBDBDB"/>
            <w:left w:val="none" w:sz="0" w:space="0" w:color="auto"/>
            <w:bottom w:val="none" w:sz="0" w:space="0" w:color="auto"/>
            <w:right w:val="none" w:sz="0" w:space="0" w:color="auto"/>
          </w:divBdr>
          <w:divsChild>
            <w:div w:id="1114055689">
              <w:marLeft w:val="0"/>
              <w:marRight w:val="0"/>
              <w:marTop w:val="0"/>
              <w:marBottom w:val="0"/>
              <w:divBdr>
                <w:top w:val="none" w:sz="0" w:space="0" w:color="auto"/>
                <w:left w:val="none" w:sz="0" w:space="0" w:color="auto"/>
                <w:bottom w:val="none" w:sz="0" w:space="0" w:color="auto"/>
                <w:right w:val="none" w:sz="0" w:space="0" w:color="auto"/>
              </w:divBdr>
            </w:div>
            <w:div w:id="1795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17831">
      <w:bodyDiv w:val="1"/>
      <w:marLeft w:val="0"/>
      <w:marRight w:val="0"/>
      <w:marTop w:val="0"/>
      <w:marBottom w:val="0"/>
      <w:divBdr>
        <w:top w:val="none" w:sz="0" w:space="0" w:color="auto"/>
        <w:left w:val="none" w:sz="0" w:space="0" w:color="auto"/>
        <w:bottom w:val="none" w:sz="0" w:space="0" w:color="auto"/>
        <w:right w:val="none" w:sz="0" w:space="0" w:color="auto"/>
      </w:divBdr>
    </w:div>
    <w:div w:id="204363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ion('LE0000855934_Vigente.html')" TargetMode="External"/><Relationship Id="rId13" Type="http://schemas.openxmlformats.org/officeDocument/2006/relationships/hyperlink" Target="https://www.legifrance.gouv.fr/affichCodeArticle.do?cidTexte=LEGITEXT000006072050&amp;idArticle=LEGIARTI000018493158&amp;dateTexte=&amp;categorieLien=cid" TargetMode="External"/><Relationship Id="rId18" Type="http://schemas.openxmlformats.org/officeDocument/2006/relationships/hyperlink" Target="https://www.legifrance.gouv.fr/affichCodeArticle.do?cidTexte=LEGITEXT000006072050&amp;idArticle=LEGIARTI000018493144&amp;dateTexte=&amp;categorieLien=cid" TargetMode="External"/><Relationship Id="rId26" Type="http://schemas.openxmlformats.org/officeDocument/2006/relationships/hyperlink" Target="https://www.legifrance.gouv.fr/jorf/article_jo/JORFARTI00004303988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france.gouv.fr/affichCodeArticle.do?cidTexte=LEGITEXT000006072050&amp;idArticle=LEGIARTI000018491245&amp;dateTexte=&amp;categorieLien=cid" TargetMode="External"/><Relationship Id="rId34" Type="http://schemas.openxmlformats.org/officeDocument/2006/relationships/hyperlink" Target="https://www.legifrance.gouv.fr/affichCodeArticle.do?cidTexte=LEGITEXT000006071367&amp;idArticle=LEGIARTI000025848763&amp;dateTexte=&amp;categorieLien=cid" TargetMode="External"/><Relationship Id="rId7" Type="http://schemas.openxmlformats.org/officeDocument/2006/relationships/endnotes" Target="endnotes.xml"/><Relationship Id="rId12" Type="http://schemas.openxmlformats.org/officeDocument/2006/relationships/hyperlink" Target="https://www.legifrance.gouv.fr/affichCodeArticle.do?cidTexte=LEGITEXT000006072050&amp;idArticle=LEGIARTI000018493376&amp;dateTexte=&amp;categorieLien=cid" TargetMode="External"/><Relationship Id="rId17" Type="http://schemas.openxmlformats.org/officeDocument/2006/relationships/hyperlink" Target="https://www.legifrance.gouv.fr/affichCodeArticle.do?cidTexte=LEGITEXT000006071367&amp;idArticle=LEGIARTI000035474837&amp;dateTexte=&amp;categorieLien=cid" TargetMode="External"/><Relationship Id="rId25" Type="http://schemas.openxmlformats.org/officeDocument/2006/relationships/hyperlink" Target="https://www.legifrance.gouv.fr/jorf/article_jo/JORFARTI000043039880" TargetMode="External"/><Relationship Id="rId33" Type="http://schemas.openxmlformats.org/officeDocument/2006/relationships/hyperlink" Target="https://www.legifrance.gouv.fr/affichCodeArticle.do?cidTexte=LEGITEXT000006072050&amp;idArticle=LEGIARTI000018493200&amp;dateTexte=&amp;categorieLien=cid"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2050&amp;idArticle=LEGIARTI000018493190&amp;dateTexte=&amp;categorieLien=cid" TargetMode="External"/><Relationship Id="rId20" Type="http://schemas.openxmlformats.org/officeDocument/2006/relationships/hyperlink" Target="https://www.legifrance.gouv.fr/affichCodeArticle.do?cidTexte=LEGITEXT000006072050&amp;idArticle=LEGIARTI000018493376&amp;dateTexte=&amp;categorieLien=cid" TargetMode="External"/><Relationship Id="rId29" Type="http://schemas.openxmlformats.org/officeDocument/2006/relationships/hyperlink" Target="https://www.legifrance.gouv.fr/affichCodeArticle.do?cidTexte=LEGITEXT000006072050&amp;idArticle=LEGIARTI000031570728&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1367&amp;idArticle=LEGIARTI000006596618&amp;dateTexte=&amp;categorieLien=cid" TargetMode="External"/><Relationship Id="rId24" Type="http://schemas.openxmlformats.org/officeDocument/2006/relationships/hyperlink" Target="https://www.legifrance.gouv.fr/affichCodeArticle.do?cidTexte=LEGITEXT000006072050&amp;idArticle=LEGIARTI000022436093&amp;dateTexte=&amp;categorieLien=cid" TargetMode="External"/><Relationship Id="rId32" Type="http://schemas.openxmlformats.org/officeDocument/2006/relationships/hyperlink" Target="https://www.legifrance.gouv.fr/affichCodeArticle.do?cidTexte=LEGITEXT000006072050&amp;idArticle=LEGIARTI000018493194&amp;dateTexte=&amp;categorieLien=cid"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2050&amp;idArticle=LEGIARTI000018493386&amp;dateTexte=&amp;categorieLien=cid" TargetMode="External"/><Relationship Id="rId23" Type="http://schemas.openxmlformats.org/officeDocument/2006/relationships/hyperlink" Target="https://www.legifrance.gouv.fr/affichCodeArticle.do?cidTexte=LEGITEXT000006071367&amp;idArticle=LEGIARTI000035474835&amp;dateTexte=&amp;categorieLien=cid" TargetMode="External"/><Relationship Id="rId28" Type="http://schemas.openxmlformats.org/officeDocument/2006/relationships/hyperlink" Target="https://www.legifrance.gouv.fr/affichCodeArticle.do?cidTexte=LEGITEXT000006071367&amp;idArticle=LEGIARTI000025850530&amp;dateTexte=&amp;categorieLien=cid" TargetMode="External"/><Relationship Id="rId36" Type="http://schemas.openxmlformats.org/officeDocument/2006/relationships/hyperlink" Target="https://www.legifrance.gouv.fr/codes/article_lc/LEGIARTI000033769113/2017-01-01" TargetMode="External"/><Relationship Id="rId10" Type="http://schemas.openxmlformats.org/officeDocument/2006/relationships/hyperlink" Target="https://www.legifrance.gouv.fr/affichCodeArticle.do?cidTexte=LEGITEXT000006072050&amp;idArticle=LEGIARTI000018493144&amp;dateTexte=&amp;categorieLien=cid" TargetMode="External"/><Relationship Id="rId19" Type="http://schemas.openxmlformats.org/officeDocument/2006/relationships/hyperlink" Target="https://www.legifrance.gouv.fr/affichCodeArticle.do?cidTexte=LEGITEXT000006071367&amp;idArticle=LEGIARTI000006596618&amp;dateTexte=&amp;categorieLien=cid" TargetMode="External"/><Relationship Id="rId31" Type="http://schemas.openxmlformats.org/officeDocument/2006/relationships/hyperlink" Target="https://www.legifrance.gouv.fr/affichCodeArticle.do?cidTexte=LEGITEXT000006072050&amp;idArticle=LEGIARTI000018493174&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jorf/article_jo/JORFARTI000043039863" TargetMode="External"/><Relationship Id="rId14" Type="http://schemas.openxmlformats.org/officeDocument/2006/relationships/hyperlink" Target="https://www.legifrance.gouv.fr/affichCodeArticle.do?cidTexte=LEGITEXT000006071367&amp;idArticle=LEGIARTI000006596619&amp;dateTexte=&amp;categorieLien=cid" TargetMode="External"/><Relationship Id="rId22" Type="http://schemas.openxmlformats.org/officeDocument/2006/relationships/hyperlink" Target="https://www.legifrance.gouv.fr/affichCodeArticle.do?cidTexte=LEGITEXT000006072050&amp;idArticle=LEGIARTI000018493178&amp;dateTexte=&amp;categorieLien=cid" TargetMode="External"/><Relationship Id="rId27" Type="http://schemas.openxmlformats.org/officeDocument/2006/relationships/hyperlink" Target="https://www.legifrance.gouv.fr/jorf/article_jo/JORFARTI000043039882" TargetMode="External"/><Relationship Id="rId30" Type="http://schemas.openxmlformats.org/officeDocument/2006/relationships/hyperlink" Target="https://www.legifrance.gouv.fr/affichCodeArticle.do?cidTexte=LEGITEXT000006071367&amp;idArticle=LEGIARTI000006596622&amp;dateTexte=&amp;categorieLien=cid" TargetMode="External"/><Relationship Id="rId35" Type="http://schemas.openxmlformats.org/officeDocument/2006/relationships/hyperlink" Target="https://www.legifrance.gouv.fr/codes/article_lc/LEGIARTI000033769117/2017-01-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D921-273B-46B1-9A11-0FE91813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8</Pages>
  <Words>3386</Words>
  <Characters>18628</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EFISENS</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Pascreau</dc:creator>
  <cp:keywords/>
  <dc:description/>
  <cp:lastModifiedBy>Constance Pascreau</cp:lastModifiedBy>
  <cp:revision>34</cp:revision>
  <cp:lastPrinted>2020-12-08T10:04:00Z</cp:lastPrinted>
  <dcterms:created xsi:type="dcterms:W3CDTF">2020-12-09T08:34:00Z</dcterms:created>
  <dcterms:modified xsi:type="dcterms:W3CDTF">2021-02-01T13:11:00Z</dcterms:modified>
</cp:coreProperties>
</file>