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6F" w:rsidRPr="00E5140C" w:rsidRDefault="007C7188" w:rsidP="00AA6B6F">
      <w:pPr>
        <w:pStyle w:val="Style2"/>
        <w:pBdr>
          <w:bottom w:val="single" w:sz="18" w:space="1" w:color="0079C2"/>
        </w:pBdr>
        <w:tabs>
          <w:tab w:val="right" w:pos="6521"/>
          <w:tab w:val="right" w:pos="8788"/>
        </w:tabs>
        <w:spacing w:before="120"/>
        <w:rPr>
          <w:rFonts w:asciiTheme="minorHAnsi" w:hAnsiTheme="minorHAnsi"/>
          <w:color w:val="595959"/>
        </w:rPr>
      </w:pPr>
      <w:bookmarkStart w:id="0" w:name="_Toc809616"/>
      <w:r>
        <w:rPr>
          <w:rFonts w:asciiTheme="minorHAnsi" w:hAnsiTheme="minorHAnsi"/>
          <w:color w:val="0079C2"/>
        </w:rPr>
        <w:t>MEMO</w:t>
      </w:r>
      <w:r w:rsidR="00AA6B6F" w:rsidRPr="00E5140C">
        <w:rPr>
          <w:rFonts w:asciiTheme="minorHAnsi" w:hAnsiTheme="minorHAnsi"/>
          <w:color w:val="0079C2"/>
        </w:rPr>
        <w:tab/>
      </w:r>
      <w:r w:rsidR="00AA6B6F" w:rsidRPr="00E5140C">
        <w:rPr>
          <w:rFonts w:asciiTheme="minorHAnsi" w:hAnsiTheme="minorHAnsi"/>
          <w:color w:val="595959"/>
          <w:sz w:val="22"/>
          <w:szCs w:val="22"/>
        </w:rPr>
        <w:tab/>
      </w:r>
      <w:bookmarkEnd w:id="0"/>
      <w:r w:rsidR="00160667">
        <w:rPr>
          <w:rFonts w:asciiTheme="minorHAnsi" w:hAnsiTheme="minorHAnsi"/>
          <w:color w:val="595959"/>
          <w:sz w:val="22"/>
          <w:szCs w:val="22"/>
        </w:rPr>
        <w:t>juin 2023</w:t>
      </w:r>
    </w:p>
    <w:p w:rsidR="00AA6B6F" w:rsidRPr="00E5140C" w:rsidRDefault="00AA6B6F" w:rsidP="00AA6B6F">
      <w:pPr>
        <w:pStyle w:val="Titrenote"/>
        <w:pBdr>
          <w:bottom w:val="single" w:sz="2" w:space="6" w:color="F0810E"/>
        </w:pBdr>
        <w:spacing w:after="0" w:line="240" w:lineRule="auto"/>
        <w:rPr>
          <w:rFonts w:asciiTheme="minorHAnsi" w:hAnsiTheme="minorHAnsi"/>
          <w:color w:val="000000"/>
          <w:sz w:val="24"/>
        </w:rPr>
      </w:pPr>
      <w:r>
        <w:rPr>
          <w:rFonts w:asciiTheme="minorHAnsi" w:hAnsiTheme="minorHAnsi"/>
          <w:color w:val="000000"/>
          <w:sz w:val="24"/>
        </w:rPr>
        <w:t>Devis – offre complémentaire proposée par les SPSTI</w:t>
      </w:r>
    </w:p>
    <w:p w:rsidR="00AA6B6F" w:rsidRDefault="00AA6B6F" w:rsidP="00AA6B6F"/>
    <w:p w:rsidR="00AA6B6F" w:rsidRPr="00327782" w:rsidRDefault="00AA6B6F" w:rsidP="00AA6B6F">
      <w:pPr>
        <w:pStyle w:val="Titre1"/>
      </w:pPr>
      <w:r w:rsidRPr="00327782">
        <w:t>Contexte</w:t>
      </w:r>
    </w:p>
    <w:p w:rsidR="00AA6B6F" w:rsidRDefault="00AA6B6F" w:rsidP="00AA6B6F"/>
    <w:p w:rsidR="00012B8F" w:rsidRDefault="00012B8F" w:rsidP="00012B8F">
      <w:r>
        <w:t xml:space="preserve">Depuis la </w:t>
      </w:r>
      <w:hyperlink r:id="rId7" w:history="1">
        <w:r>
          <w:rPr>
            <w:rStyle w:val="Lienhypertexte"/>
          </w:rPr>
          <w:t>loi n° 2021-1018</w:t>
        </w:r>
      </w:hyperlink>
      <w:r>
        <w:t xml:space="preserve"> du 2 août 2021 pour renforcer la prévention en santé au travail et la parution du </w:t>
      </w:r>
      <w:hyperlink r:id="rId8" w:history="1">
        <w:r>
          <w:rPr>
            <w:rStyle w:val="Lienhypertexte"/>
          </w:rPr>
          <w:t>décret n° 2022-653</w:t>
        </w:r>
      </w:hyperlink>
      <w:r>
        <w:t xml:space="preserve"> du 25 avril 2022, les SPSTI proposent à leurs adhérents un ensemble socle de services qui doit couvrir l’intégralité des missions prévues à l’article </w:t>
      </w:r>
      <w:hyperlink r:id="rId9" w:history="1">
        <w:r>
          <w:rPr>
            <w:rStyle w:val="Lienhypertexte"/>
          </w:rPr>
          <w:t>L. 4622-2</w:t>
        </w:r>
      </w:hyperlink>
      <w:r>
        <w:t xml:space="preserve"> du code du travail en matière de prévention des risques professionnels, de suivi individuel de l’état de santé des salariés et de prévention de la désinsertion professionnelle. Ces services (évaluation des risques professionnels, accompagnement dans la rédaction du DUERP, suivi médical du salarié, alertes, etc.) sont détaillés dans la délibération du Comité national de prévention et de santé au travail du 1</w:t>
      </w:r>
      <w:r>
        <w:rPr>
          <w:vertAlign w:val="superscript"/>
        </w:rPr>
        <w:t>er</w:t>
      </w:r>
      <w:r>
        <w:t xml:space="preserve"> avril 2022, </w:t>
      </w:r>
      <w:hyperlink r:id="rId10" w:history="1">
        <w:r>
          <w:rPr>
            <w:rStyle w:val="Lienhypertexte"/>
          </w:rPr>
          <w:t>annexée</w:t>
        </w:r>
      </w:hyperlink>
      <w:r>
        <w:t xml:space="preserve"> au décret.</w:t>
      </w:r>
    </w:p>
    <w:p w:rsidR="00012B8F" w:rsidRDefault="00012B8F" w:rsidP="00012B8F"/>
    <w:p w:rsidR="00012B8F" w:rsidRDefault="00012B8F" w:rsidP="00012B8F">
      <w:r>
        <w:t xml:space="preserve">L’article </w:t>
      </w:r>
      <w:hyperlink r:id="rId11" w:history="1">
        <w:r>
          <w:rPr>
            <w:rStyle w:val="Lienhypertexte"/>
          </w:rPr>
          <w:t>L. 4622-9-1</w:t>
        </w:r>
      </w:hyperlink>
      <w:r>
        <w:t xml:space="preserve"> du code du travail prévoit que les SPSTI peuvent en outre proposer des services complémentaires à leurs adhérents (tous types de prestations en lien avec la santé au travail et la prévention des risques professionnels ne relevant pas de l’offre socle : formation aux gestes qui sauvent, </w:t>
      </w:r>
      <w:bookmarkStart w:id="1" w:name="_GoBack"/>
      <w:bookmarkEnd w:id="1"/>
      <w:r>
        <w:t>formation PRAP/SST, échauffement au poste de travail, rédaction du DUERP, etc.).</w:t>
      </w:r>
    </w:p>
    <w:p w:rsidR="00012B8F" w:rsidRDefault="00012B8F" w:rsidP="00012B8F"/>
    <w:p w:rsidR="00012B8F" w:rsidRPr="00405F99" w:rsidRDefault="00012B8F" w:rsidP="00012B8F">
      <w:pPr>
        <w:rPr>
          <w:b/>
          <w:i/>
        </w:rPr>
      </w:pPr>
      <w:r>
        <w:t>Le décret précise que « </w:t>
      </w:r>
      <w:r>
        <w:rPr>
          <w:i/>
        </w:rPr>
        <w:t xml:space="preserve">l’offre complémentaire correspond à des prestations marchandes proposées aux entreprises adhérentes qui demanderaient au service des prestations allant au-delà de l'ensemble socle de services. </w:t>
      </w:r>
      <w:r w:rsidRPr="00405F99">
        <w:rPr>
          <w:b/>
          <w:i/>
        </w:rPr>
        <w:t>Cette offre marchande fait l'objet de conditions générales et d'une grille tarifaire spécifique.</w:t>
      </w:r>
    </w:p>
    <w:p w:rsidR="00012B8F" w:rsidRDefault="00012B8F" w:rsidP="00012B8F">
      <w:r>
        <w:rPr>
          <w:i/>
        </w:rPr>
        <w:t>Ces services complémentaires ont pour fonction de répondre aux besoins supplémentaires des adhérents et ne sont donc mobilisés qu'à la demande de ces derniers. Ces services complémentaires n'ont pas comme finalité de développer une dynamique d'offre marchande de la part du SPSTI</w:t>
      </w:r>
      <w:r>
        <w:t> ».</w:t>
      </w:r>
    </w:p>
    <w:p w:rsidR="00012B8F" w:rsidRDefault="00012B8F" w:rsidP="00AA6B6F"/>
    <w:p w:rsidR="00012B8F" w:rsidRDefault="00012B8F" w:rsidP="00AA6B6F">
      <w:r>
        <w:t>Les services complémentaires seront ainsi délivrés aux entreprises qui en font la demande, auxquelles sera transmis un devis</w:t>
      </w:r>
      <w:r w:rsidR="00405F99">
        <w:t xml:space="preserve"> issu d’une grille tarifaire</w:t>
      </w:r>
      <w:r>
        <w:t xml:space="preserve"> accompagné de conditions générales de vente.</w:t>
      </w:r>
    </w:p>
    <w:p w:rsidR="00405F99" w:rsidRDefault="00405F99" w:rsidP="00AA6B6F"/>
    <w:p w:rsidR="00405F99" w:rsidRDefault="00405F99" w:rsidP="00AA6B6F">
      <w:r>
        <w:t xml:space="preserve">La grille tarifaire </w:t>
      </w:r>
      <w:r w:rsidR="0015136F">
        <w:t>fait, à notre sens référence, à une définition établie des modalités de tarification qui peuvent varier en fonction des prestations.</w:t>
      </w:r>
    </w:p>
    <w:p w:rsidR="00AA6B6F" w:rsidRDefault="00AA6B6F" w:rsidP="00AA6B6F"/>
    <w:p w:rsidR="00012B8F" w:rsidRDefault="00012B8F" w:rsidP="00AA6B6F">
      <w:r>
        <w:t>La présente note rappelle les éléments devant figurer dans le devis.</w:t>
      </w:r>
    </w:p>
    <w:p w:rsidR="00012B8F" w:rsidRDefault="00012B8F" w:rsidP="00AA6B6F"/>
    <w:p w:rsidR="00012B8F" w:rsidRDefault="00012B8F" w:rsidP="00AA6B6F"/>
    <w:p w:rsidR="00405F99" w:rsidRDefault="00405F99" w:rsidP="00AA6B6F"/>
    <w:p w:rsidR="00405F99" w:rsidRDefault="00405F99" w:rsidP="00AA6B6F"/>
    <w:p w:rsidR="00405F99" w:rsidRDefault="00405F99" w:rsidP="00AA6B6F"/>
    <w:p w:rsidR="00405F99" w:rsidRDefault="00405F99" w:rsidP="00AA6B6F"/>
    <w:p w:rsidR="00405F99" w:rsidRDefault="00405F99" w:rsidP="00AA6B6F"/>
    <w:p w:rsidR="00160667" w:rsidRDefault="00160667" w:rsidP="00AA6B6F"/>
    <w:p w:rsidR="00160667" w:rsidRDefault="00160667" w:rsidP="00AA6B6F"/>
    <w:p w:rsidR="00160667" w:rsidRDefault="00160667" w:rsidP="00AA6B6F"/>
    <w:p w:rsidR="00405F99" w:rsidRPr="009E2E43" w:rsidRDefault="00405F99" w:rsidP="00AA6B6F"/>
    <w:p w:rsidR="00AA6B6F" w:rsidRPr="00327782" w:rsidRDefault="00012B8F" w:rsidP="00AA6B6F">
      <w:pPr>
        <w:pStyle w:val="Titre1"/>
      </w:pPr>
      <w:r>
        <w:t xml:space="preserve">Eléments à faire figurer dans le devis proposé aux </w:t>
      </w:r>
      <w:r w:rsidR="00160667">
        <w:t>EMPLOYEURS</w:t>
      </w:r>
      <w:r>
        <w:t xml:space="preserve"> pour la </w:t>
      </w:r>
      <w:r w:rsidR="00160667">
        <w:t xml:space="preserve">REALISATION </w:t>
      </w:r>
      <w:r w:rsidR="00160667">
        <w:lastRenderedPageBreak/>
        <w:t>DE PRESTATIONS RELEVANT DE l’OFFRE</w:t>
      </w:r>
      <w:r>
        <w:t xml:space="preserve"> complémentaire</w:t>
      </w:r>
    </w:p>
    <w:p w:rsidR="00AA6B6F" w:rsidRDefault="00AA6B6F" w:rsidP="00AA6B6F"/>
    <w:p w:rsidR="00735525" w:rsidRDefault="00160667" w:rsidP="00AA6B6F">
      <w:r>
        <w:t>L</w:t>
      </w:r>
      <w:r w:rsidR="00735525">
        <w:t>e devis proposé aux entreprises adhérentes pour la vente de services complémentaires fera office de contrat (conditions particulières de vente) auquel seront annexées les conditions générales de vente</w:t>
      </w:r>
      <w:r w:rsidR="00405F99">
        <w:t xml:space="preserve"> (souvent au dos du devis)</w:t>
      </w:r>
      <w:r w:rsidR="00735525">
        <w:t>.</w:t>
      </w:r>
    </w:p>
    <w:p w:rsidR="00735525" w:rsidRDefault="00735525" w:rsidP="00AA6B6F"/>
    <w:p w:rsidR="00735525" w:rsidRDefault="00735525" w:rsidP="00AA6B6F">
      <w:r>
        <w:t xml:space="preserve">Il devra donc contenir les </w:t>
      </w:r>
      <w:r w:rsidR="00882731">
        <w:t>éléments essentiels de la prestation (identification des services proposés, prix, modalités d’exécution le cas échéant, etc.).</w:t>
      </w:r>
    </w:p>
    <w:p w:rsidR="00882731" w:rsidRDefault="00882731" w:rsidP="00AA6B6F"/>
    <w:p w:rsidR="00735525" w:rsidRDefault="00735525" w:rsidP="00AA6B6F"/>
    <w:p w:rsidR="00012B8F" w:rsidRDefault="00012B8F" w:rsidP="00012B8F">
      <w:pPr>
        <w:pStyle w:val="Titre2"/>
        <w:numPr>
          <w:ilvl w:val="1"/>
          <w:numId w:val="3"/>
        </w:numPr>
      </w:pPr>
      <w:r>
        <w:t xml:space="preserve">Mentions relatives </w:t>
      </w:r>
      <w:r w:rsidR="00882731">
        <w:t>aux parties</w:t>
      </w:r>
      <w:r w:rsidR="00731E6F">
        <w:t xml:space="preserve"> et autres mentions</w:t>
      </w:r>
    </w:p>
    <w:p w:rsidR="00882731" w:rsidRDefault="00882731" w:rsidP="00012B8F"/>
    <w:p w:rsidR="00882731" w:rsidRDefault="00882731" w:rsidP="00882731">
      <w:pPr>
        <w:pStyle w:val="Paragraphedeliste"/>
        <w:numPr>
          <w:ilvl w:val="0"/>
          <w:numId w:val="4"/>
        </w:numPr>
      </w:pPr>
      <w:r>
        <w:t xml:space="preserve">informations légales </w:t>
      </w:r>
      <w:r w:rsidR="00731E6F">
        <w:t xml:space="preserve">du SPSTI </w:t>
      </w:r>
      <w:r w:rsidR="00DF738B">
        <w:t xml:space="preserve">– dénommé le « Service » – </w:t>
      </w:r>
      <w:r w:rsidR="00731E6F">
        <w:t>et de l’entreprise</w:t>
      </w:r>
      <w:r w:rsidR="00DF738B">
        <w:t xml:space="preserve"> – dénommée l’« Adhérent »</w:t>
      </w:r>
      <w:r w:rsidR="00731E6F">
        <w:t xml:space="preserve"> (SIREN, adresse du siège, forme juridique, représentant, etc.) ;</w:t>
      </w:r>
    </w:p>
    <w:p w:rsidR="00731E6F" w:rsidRDefault="00731E6F" w:rsidP="00882731">
      <w:pPr>
        <w:pStyle w:val="Paragraphedeliste"/>
        <w:numPr>
          <w:ilvl w:val="0"/>
          <w:numId w:val="4"/>
        </w:numPr>
      </w:pPr>
      <w:r>
        <w:t>date du devis ;</w:t>
      </w:r>
    </w:p>
    <w:p w:rsidR="00731E6F" w:rsidRDefault="00615398" w:rsidP="00882731">
      <w:pPr>
        <w:pStyle w:val="Paragraphedeliste"/>
        <w:numPr>
          <w:ilvl w:val="0"/>
          <w:numId w:val="4"/>
        </w:numPr>
      </w:pPr>
      <w:r>
        <w:t>signature du représentant du SPSTI (à noter : l’émission du devis équivaut à une offre de contrat ; elle engage le SPSTI).</w:t>
      </w:r>
    </w:p>
    <w:p w:rsidR="00012B8F" w:rsidRDefault="00012B8F" w:rsidP="00AA6B6F">
      <w:pPr>
        <w:pStyle w:val="Paragraphedeliste"/>
        <w:numPr>
          <w:ilvl w:val="0"/>
          <w:numId w:val="0"/>
        </w:numPr>
      </w:pPr>
    </w:p>
    <w:p w:rsidR="00012B8F" w:rsidRDefault="00012B8F" w:rsidP="00012B8F">
      <w:pPr>
        <w:pStyle w:val="Titre2"/>
        <w:numPr>
          <w:ilvl w:val="1"/>
          <w:numId w:val="3"/>
        </w:numPr>
      </w:pPr>
      <w:r>
        <w:t xml:space="preserve">Mentions relatives </w:t>
      </w:r>
      <w:r w:rsidR="00615398">
        <w:t xml:space="preserve">à l’offre et </w:t>
      </w:r>
      <w:r>
        <w:t>aux services proposés</w:t>
      </w:r>
    </w:p>
    <w:p w:rsidR="00AA6B6F" w:rsidRDefault="00AA6B6F" w:rsidP="00AA6B6F">
      <w:pPr>
        <w:pStyle w:val="Paragraphedeliste"/>
        <w:numPr>
          <w:ilvl w:val="0"/>
          <w:numId w:val="0"/>
        </w:numPr>
      </w:pPr>
    </w:p>
    <w:p w:rsidR="00731E6F" w:rsidRDefault="00731E6F" w:rsidP="00731E6F">
      <w:pPr>
        <w:pStyle w:val="Paragraphedeliste"/>
        <w:numPr>
          <w:ilvl w:val="0"/>
          <w:numId w:val="4"/>
        </w:numPr>
      </w:pPr>
      <w:r>
        <w:t xml:space="preserve">prestations proposées et leur </w:t>
      </w:r>
      <w:r w:rsidR="00615398">
        <w:t xml:space="preserve">description </w:t>
      </w:r>
      <w:r>
        <w:t>détail</w:t>
      </w:r>
      <w:r w:rsidR="00615398">
        <w:t>lée, mentionnant le délai nécessaire pour les délivrer le cas échéant</w:t>
      </w:r>
      <w:r>
        <w:t> ;</w:t>
      </w:r>
    </w:p>
    <w:p w:rsidR="00615398" w:rsidRDefault="00731E6F" w:rsidP="00AA6B6F">
      <w:pPr>
        <w:pStyle w:val="Paragraphedeliste"/>
        <w:numPr>
          <w:ilvl w:val="0"/>
          <w:numId w:val="4"/>
        </w:numPr>
      </w:pPr>
      <w:r>
        <w:t>p</w:t>
      </w:r>
      <w:r w:rsidR="00012B8F">
        <w:t>rix HT et TTC</w:t>
      </w:r>
      <w:r w:rsidR="00615398">
        <w:t xml:space="preserve"> correspondant ;</w:t>
      </w:r>
    </w:p>
    <w:p w:rsidR="00615398" w:rsidRDefault="00615398" w:rsidP="00AA6B6F">
      <w:pPr>
        <w:pStyle w:val="Paragraphedeliste"/>
        <w:numPr>
          <w:ilvl w:val="0"/>
          <w:numId w:val="4"/>
        </w:numPr>
      </w:pPr>
      <w:r>
        <w:t>durée de validité de l’offre (devis/offre valable jusqu’au …) ;</w:t>
      </w:r>
    </w:p>
    <w:p w:rsidR="00805EC7" w:rsidRDefault="00615398" w:rsidP="00AA6B6F">
      <w:pPr>
        <w:pStyle w:val="Paragraphedeliste"/>
        <w:numPr>
          <w:ilvl w:val="0"/>
          <w:numId w:val="4"/>
        </w:numPr>
      </w:pPr>
      <w:r>
        <w:t>r</w:t>
      </w:r>
      <w:r w:rsidR="00805EC7">
        <w:t>envoi aux conditions générales</w:t>
      </w:r>
      <w:r>
        <w:t xml:space="preserve"> annexées au devis (qui devront être communiquées en même temps que le devis</w:t>
      </w:r>
      <w:r w:rsidR="0015136F">
        <w:t xml:space="preserve"> – elles peuvent être au verso</w:t>
      </w:r>
      <w:r>
        <w:t>) ;</w:t>
      </w:r>
    </w:p>
    <w:p w:rsidR="00D00520" w:rsidRDefault="00D00520" w:rsidP="00AA6B6F">
      <w:pPr>
        <w:pStyle w:val="Paragraphedeliste"/>
        <w:numPr>
          <w:ilvl w:val="0"/>
          <w:numId w:val="4"/>
        </w:numPr>
      </w:pPr>
      <w:r>
        <w:t xml:space="preserve">mention « j’accepte les conditions générales de vente annexées </w:t>
      </w:r>
      <w:r w:rsidR="0015136F">
        <w:t xml:space="preserve">(ou au verso) </w:t>
      </w:r>
      <w:r>
        <w:t>au présent devis » ;</w:t>
      </w:r>
    </w:p>
    <w:p w:rsidR="00BD2406" w:rsidRDefault="00BD2406" w:rsidP="00BD2406">
      <w:pPr>
        <w:pStyle w:val="Paragraphedeliste"/>
        <w:numPr>
          <w:ilvl w:val="0"/>
          <w:numId w:val="4"/>
        </w:numPr>
      </w:pPr>
      <w:r>
        <w:t>mention que la signature du devis vaut acceptation de l’offre et engage l’entreprise adhérente, pour les services faisant l’objet du devis et aux modalités qu’il définit, dans les conditions prévues au devis et aux CGV ;</w:t>
      </w:r>
    </w:p>
    <w:p w:rsidR="00BD2406" w:rsidRDefault="00615398" w:rsidP="00615398">
      <w:pPr>
        <w:pStyle w:val="Paragraphedeliste"/>
        <w:numPr>
          <w:ilvl w:val="0"/>
          <w:numId w:val="4"/>
        </w:numPr>
      </w:pPr>
      <w:r>
        <w:t xml:space="preserve">le cas échéant, </w:t>
      </w:r>
      <w:r w:rsidR="00BD2406">
        <w:t>une demande d’acompte à verser au moment de la signature.</w:t>
      </w:r>
    </w:p>
    <w:p w:rsidR="00AA6B6F" w:rsidRDefault="00AA6B6F" w:rsidP="00AA6B6F"/>
    <w:p w:rsidR="00AA6B6F" w:rsidRPr="00D24C2D" w:rsidRDefault="00AA6B6F" w:rsidP="00AA6B6F"/>
    <w:p w:rsidR="007E247F" w:rsidRPr="00AA6B6F" w:rsidRDefault="00ED2D33" w:rsidP="00AA6B6F">
      <w:r>
        <w:t xml:space="preserve"> </w:t>
      </w:r>
    </w:p>
    <w:sectPr w:rsidR="007E247F" w:rsidRPr="00AA6B6F" w:rsidSect="00A674C3">
      <w:headerReference w:type="even" r:id="rId12"/>
      <w:headerReference w:type="default" r:id="rId13"/>
      <w:footerReference w:type="even" r:id="rId14"/>
      <w:footerReference w:type="default" r:id="rId15"/>
      <w:headerReference w:type="first" r:id="rId16"/>
      <w:footerReference w:type="first" r:id="rId17"/>
      <w:pgSz w:w="11907" w:h="16839"/>
      <w:pgMar w:top="1843" w:right="1418" w:bottom="1135" w:left="1418"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610" w:rsidRDefault="005D4610">
      <w:r>
        <w:separator/>
      </w:r>
    </w:p>
  </w:endnote>
  <w:endnote w:type="continuationSeparator" w:id="0">
    <w:p w:rsidR="005D4610" w:rsidRDefault="005D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A9" w:rsidRDefault="00CE753E">
    <w:pPr>
      <w:pStyle w:val="Pieddepage"/>
    </w:pPr>
  </w:p>
  <w:p w:rsidR="00A96FA9" w:rsidRDefault="00CE753E"/>
  <w:p w:rsidR="00A96FA9" w:rsidRDefault="00CE753E"/>
  <w:p w:rsidR="00A96FA9" w:rsidRDefault="00CE753E" w:rsidP="00A96FA9"/>
  <w:p w:rsidR="00A96FA9" w:rsidRDefault="00CE753E" w:rsidP="00CE753E">
    <w:pPr>
      <w:jc w:val="right"/>
    </w:pPr>
    <w:r w:rsidRPr="00CE753E">
      <w:rPr>
        <w:rFonts w:ascii="Calibri" w:hAnsi="Calibri" w:cs="Calibri"/>
        <w:color w:val="000000"/>
        <w:sz w:val="16"/>
      </w:rPr>
      <w:fldChar w:fldCharType="begin"/>
    </w:r>
    <w:r w:rsidRPr="00CE753E">
      <w:rPr>
        <w:rFonts w:ascii="Calibri" w:hAnsi="Calibri" w:cs="Calibri"/>
        <w:color w:val="000000"/>
        <w:sz w:val="16"/>
      </w:rPr>
      <w:instrText xml:space="preserve">    DOCVARIABLE EfId_Delsol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8911523.3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A9" w:rsidRDefault="00CE753E" w:rsidP="00A96FA9">
    <w:pPr>
      <w:pStyle w:val="Sansinterligne"/>
      <w:rPr>
        <w:noProof/>
      </w:rPr>
    </w:pPr>
  </w:p>
  <w:p w:rsidR="00A96FA9" w:rsidRDefault="00AA6B6F" w:rsidP="00A96FA9">
    <w:pPr>
      <w:pStyle w:val="Pieddepageimpaire"/>
      <w:pBdr>
        <w:top w:val="none" w:sz="0" w:space="0" w:color="auto"/>
      </w:pBdr>
      <w:spacing w:after="0"/>
      <w:jc w:val="center"/>
      <w:rPr>
        <w:szCs w:val="20"/>
      </w:rPr>
    </w:pPr>
    <w:r w:rsidRPr="004827DE">
      <w:rPr>
        <w:szCs w:val="20"/>
      </w:rPr>
      <w:fldChar w:fldCharType="begin"/>
    </w:r>
    <w:r w:rsidRPr="004827DE">
      <w:rPr>
        <w:szCs w:val="20"/>
      </w:rPr>
      <w:instrText>PAGE   \* MERGEFORMAT</w:instrText>
    </w:r>
    <w:r w:rsidRPr="004827DE">
      <w:rPr>
        <w:szCs w:val="20"/>
      </w:rPr>
      <w:fldChar w:fldCharType="separate"/>
    </w:r>
    <w:r w:rsidR="00CE753E">
      <w:rPr>
        <w:noProof/>
        <w:szCs w:val="20"/>
      </w:rPr>
      <w:t>2</w:t>
    </w:r>
    <w:r w:rsidRPr="004827DE">
      <w:rPr>
        <w:szCs w:val="20"/>
      </w:rPr>
      <w:fldChar w:fldCharType="end"/>
    </w:r>
  </w:p>
  <w:p w:rsidR="00A96FA9" w:rsidRDefault="00CE753E" w:rsidP="00CE753E">
    <w:pPr>
      <w:pStyle w:val="Pieddepageimpaire"/>
      <w:pBdr>
        <w:top w:val="none" w:sz="0" w:space="0" w:color="auto"/>
      </w:pBdr>
      <w:spacing w:after="0"/>
      <w:rPr>
        <w:szCs w:val="20"/>
      </w:rPr>
    </w:pPr>
    <w:r w:rsidRPr="00CE753E">
      <w:rPr>
        <w:rFonts w:cs="Calibri"/>
        <w:color w:val="000000"/>
        <w:sz w:val="16"/>
        <w:szCs w:val="20"/>
      </w:rPr>
      <w:fldChar w:fldCharType="begin"/>
    </w:r>
    <w:r w:rsidRPr="00CE753E">
      <w:rPr>
        <w:rFonts w:cs="Calibri"/>
        <w:color w:val="000000"/>
        <w:sz w:val="16"/>
        <w:szCs w:val="20"/>
      </w:rPr>
      <w:instrText xml:space="preserve">    DOCVARIABLE EfId_Delsol \* MERGEFORMAT   </w:instrText>
    </w:r>
    <w:r>
      <w:rPr>
        <w:szCs w:val="20"/>
      </w:rPr>
      <w:instrText xml:space="preserve"> </w:instrText>
    </w:r>
    <w:r>
      <w:rPr>
        <w:rFonts w:cs="Calibri"/>
        <w:color w:val="000000"/>
        <w:sz w:val="16"/>
        <w:szCs w:val="20"/>
      </w:rPr>
      <w:fldChar w:fldCharType="separate"/>
    </w:r>
    <w:r>
      <w:rPr>
        <w:rFonts w:cs="Calibri"/>
        <w:color w:val="000000"/>
        <w:sz w:val="16"/>
        <w:szCs w:val="20"/>
      </w:rPr>
      <w:t>8911523.3</w:t>
    </w:r>
    <w:r>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A9" w:rsidRPr="00165AE5" w:rsidRDefault="00AA6B6F" w:rsidP="00A96FA9">
    <w:pPr>
      <w:tabs>
        <w:tab w:val="left" w:pos="2268"/>
        <w:tab w:val="left" w:pos="4253"/>
        <w:tab w:val="left" w:pos="7088"/>
      </w:tabs>
      <w:ind w:right="-851"/>
      <w:rPr>
        <w:b/>
        <w:sz w:val="13"/>
        <w:szCs w:val="13"/>
      </w:rPr>
    </w:pPr>
    <w:r>
      <w:rPr>
        <w:noProof/>
        <w:lang w:eastAsia="fr-FR"/>
      </w:rPr>
      <mc:AlternateContent>
        <mc:Choice Requires="wps">
          <w:drawing>
            <wp:anchor distT="0" distB="0" distL="114299" distR="114299" simplePos="0" relativeHeight="251663360" behindDoc="0" locked="0" layoutInCell="1" allowOverlap="1" wp14:anchorId="3BEDCB72" wp14:editId="2CA2B227">
              <wp:simplePos x="0" y="0"/>
              <wp:positionH relativeFrom="column">
                <wp:posOffset>4374514</wp:posOffset>
              </wp:positionH>
              <wp:positionV relativeFrom="paragraph">
                <wp:posOffset>10160</wp:posOffset>
              </wp:positionV>
              <wp:extent cx="0" cy="773430"/>
              <wp:effectExtent l="0" t="0" r="19050" b="2667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3430"/>
                      </a:xfrm>
                      <a:prstGeom prst="line">
                        <a:avLst/>
                      </a:prstGeom>
                      <a:noFill/>
                      <a:ln w="10000" cap="flat" cmpd="sng" algn="ctr">
                        <a:solidFill>
                          <a:srgbClr val="F0810E"/>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BABB1F" id="Connecteur droit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4.45pt,.8pt" to="344.4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" strokecolor="#f0810e" strokeweight=".27778mm">
              <o:lock v:ext="edit" shapetype="f"/>
            </v:line>
          </w:pict>
        </mc:Fallback>
      </mc:AlternateContent>
    </w:r>
    <w:r>
      <w:rPr>
        <w:noProof/>
        <w:lang w:eastAsia="fr-FR"/>
      </w:rPr>
      <mc:AlternateContent>
        <mc:Choice Requires="wps">
          <w:drawing>
            <wp:anchor distT="0" distB="0" distL="114299" distR="114299" simplePos="0" relativeHeight="251662336" behindDoc="0" locked="0" layoutInCell="1" allowOverlap="1" wp14:anchorId="78993E8F" wp14:editId="2A01DD3A">
              <wp:simplePos x="0" y="0"/>
              <wp:positionH relativeFrom="column">
                <wp:posOffset>2581274</wp:posOffset>
              </wp:positionH>
              <wp:positionV relativeFrom="paragraph">
                <wp:posOffset>10160</wp:posOffset>
              </wp:positionV>
              <wp:extent cx="0" cy="773430"/>
              <wp:effectExtent l="0" t="0" r="19050" b="2667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3430"/>
                      </a:xfrm>
                      <a:prstGeom prst="line">
                        <a:avLst/>
                      </a:prstGeom>
                      <a:noFill/>
                      <a:ln w="10000" cap="flat" cmpd="sng" algn="ctr">
                        <a:solidFill>
                          <a:srgbClr val="F0810E"/>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85BCA" id="Connecteur droit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25pt,.8pt" to="203.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" strokecolor="#f0810e" strokeweight=".27778mm">
              <o:lock v:ext="edit" shapetype="f"/>
            </v:line>
          </w:pict>
        </mc:Fallback>
      </mc:AlternateContent>
    </w:r>
    <w:r>
      <w:rPr>
        <w:noProof/>
        <w:lang w:eastAsia="fr-FR"/>
      </w:rPr>
      <mc:AlternateContent>
        <mc:Choice Requires="wps">
          <w:drawing>
            <wp:anchor distT="0" distB="0" distL="114299" distR="114299" simplePos="0" relativeHeight="251661312" behindDoc="0" locked="0" layoutInCell="1" allowOverlap="1" wp14:anchorId="2490B57E" wp14:editId="5E8F57D2">
              <wp:simplePos x="0" y="0"/>
              <wp:positionH relativeFrom="column">
                <wp:posOffset>1241424</wp:posOffset>
              </wp:positionH>
              <wp:positionV relativeFrom="paragraph">
                <wp:posOffset>10160</wp:posOffset>
              </wp:positionV>
              <wp:extent cx="0" cy="773430"/>
              <wp:effectExtent l="0" t="0" r="19050" b="2667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3430"/>
                      </a:xfrm>
                      <a:prstGeom prst="line">
                        <a:avLst/>
                      </a:prstGeom>
                      <a:noFill/>
                      <a:ln w="10000" cap="flat" cmpd="sng" algn="ctr">
                        <a:solidFill>
                          <a:srgbClr val="F0810E"/>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1E8240" id="Connecteur droit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7.75pt,.8pt" to="97.7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" strokecolor="#f0810e" strokeweight=".27778mm">
              <o:lock v:ext="edit" shapetype="f"/>
            </v:line>
          </w:pict>
        </mc:Fallback>
      </mc:AlternateContent>
    </w:r>
    <w:r w:rsidRPr="00242D2B">
      <w:rPr>
        <w:b/>
        <w:color w:val="F0810E"/>
        <w:sz w:val="13"/>
        <w:szCs w:val="13"/>
      </w:rPr>
      <w:t xml:space="preserve"> </w:t>
    </w:r>
    <w:r w:rsidRPr="00165AE5">
      <w:rPr>
        <w:b/>
        <w:color w:val="F0810E"/>
        <w:sz w:val="13"/>
        <w:szCs w:val="13"/>
      </w:rPr>
      <w:t>LYON</w:t>
    </w:r>
    <w:r w:rsidRPr="00165AE5">
      <w:rPr>
        <w:sz w:val="13"/>
        <w:szCs w:val="13"/>
      </w:rPr>
      <w:tab/>
    </w:r>
    <w:r w:rsidRPr="00165AE5">
      <w:rPr>
        <w:b/>
        <w:color w:val="F0810E"/>
        <w:sz w:val="13"/>
        <w:szCs w:val="13"/>
      </w:rPr>
      <w:t>PARIS</w:t>
    </w:r>
    <w:r w:rsidRPr="00165AE5">
      <w:rPr>
        <w:sz w:val="13"/>
        <w:szCs w:val="13"/>
      </w:rPr>
      <w:tab/>
    </w:r>
    <w:r w:rsidRPr="00165AE5">
      <w:rPr>
        <w:b/>
        <w:color w:val="0070BA"/>
        <w:sz w:val="13"/>
        <w:szCs w:val="13"/>
      </w:rPr>
      <w:t>www.delsolavocats.com</w:t>
    </w:r>
    <w:r w:rsidRPr="00165AE5">
      <w:rPr>
        <w:sz w:val="13"/>
        <w:szCs w:val="13"/>
      </w:rPr>
      <w:tab/>
    </w:r>
    <w:r w:rsidRPr="00165AE5">
      <w:rPr>
        <w:b/>
        <w:sz w:val="13"/>
        <w:szCs w:val="13"/>
      </w:rPr>
      <w:t>Avocats aux Barreaux de Lyon et Paris</w:t>
    </w:r>
  </w:p>
  <w:p w:rsidR="00A96FA9" w:rsidRPr="00165AE5" w:rsidRDefault="00AA6B6F" w:rsidP="00A96FA9">
    <w:pPr>
      <w:tabs>
        <w:tab w:val="left" w:pos="2268"/>
        <w:tab w:val="left" w:pos="5063"/>
        <w:tab w:val="left" w:pos="7088"/>
      </w:tabs>
      <w:rPr>
        <w:b/>
        <w:sz w:val="13"/>
        <w:szCs w:val="13"/>
      </w:rPr>
    </w:pPr>
    <w:r w:rsidRPr="00165AE5">
      <w:rPr>
        <w:b/>
        <w:sz w:val="13"/>
        <w:szCs w:val="13"/>
      </w:rPr>
      <w:t>11, quai André Lassagne</w:t>
    </w:r>
    <w:r w:rsidRPr="00165AE5">
      <w:rPr>
        <w:b/>
        <w:sz w:val="13"/>
        <w:szCs w:val="13"/>
      </w:rPr>
      <w:tab/>
      <w:t xml:space="preserve">4 bis, rue </w:t>
    </w:r>
    <w:r>
      <w:rPr>
        <w:b/>
        <w:sz w:val="13"/>
        <w:szCs w:val="13"/>
      </w:rPr>
      <w:t xml:space="preserve">du </w:t>
    </w:r>
    <w:r w:rsidRPr="00165AE5">
      <w:rPr>
        <w:b/>
        <w:sz w:val="13"/>
        <w:szCs w:val="13"/>
      </w:rPr>
      <w:t>Colonel Moll</w:t>
    </w:r>
    <w:r w:rsidRPr="00165AE5">
      <w:rPr>
        <w:b/>
        <w:sz w:val="13"/>
        <w:szCs w:val="13"/>
      </w:rPr>
      <w:tab/>
    </w:r>
    <w:r w:rsidRPr="00165AE5">
      <w:rPr>
        <w:b/>
        <w:sz w:val="13"/>
        <w:szCs w:val="13"/>
      </w:rPr>
      <w:tab/>
      <w:t>Toque Lyon : 794</w:t>
    </w:r>
  </w:p>
  <w:p w:rsidR="00A96FA9" w:rsidRPr="00165AE5" w:rsidRDefault="00AA6B6F" w:rsidP="00A96FA9">
    <w:pPr>
      <w:tabs>
        <w:tab w:val="left" w:pos="2268"/>
        <w:tab w:val="left" w:pos="4253"/>
        <w:tab w:val="left" w:pos="7088"/>
      </w:tabs>
      <w:rPr>
        <w:b/>
        <w:sz w:val="13"/>
        <w:szCs w:val="13"/>
      </w:rPr>
    </w:pPr>
    <w:r w:rsidRPr="00165AE5">
      <w:rPr>
        <w:b/>
        <w:sz w:val="13"/>
        <w:szCs w:val="13"/>
      </w:rPr>
      <w:t xml:space="preserve">CS 50168 </w:t>
    </w:r>
    <w:r w:rsidRPr="00165AE5">
      <w:rPr>
        <w:b/>
        <w:sz w:val="13"/>
        <w:szCs w:val="13"/>
      </w:rPr>
      <w:tab/>
      <w:t>75017 PARIS</w:t>
    </w:r>
    <w:r w:rsidRPr="00165AE5">
      <w:rPr>
        <w:b/>
        <w:sz w:val="13"/>
        <w:szCs w:val="13"/>
      </w:rPr>
      <w:tab/>
      <w:t>SELARL au capital de 2 </w:t>
    </w:r>
    <w:r>
      <w:rPr>
        <w:b/>
        <w:sz w:val="13"/>
        <w:szCs w:val="13"/>
      </w:rPr>
      <w:t>625</w:t>
    </w:r>
    <w:r w:rsidRPr="00165AE5">
      <w:rPr>
        <w:b/>
        <w:sz w:val="13"/>
        <w:szCs w:val="13"/>
      </w:rPr>
      <w:t> 000 €</w:t>
    </w:r>
    <w:r w:rsidRPr="00165AE5">
      <w:rPr>
        <w:b/>
        <w:sz w:val="13"/>
        <w:szCs w:val="13"/>
      </w:rPr>
      <w:tab/>
      <w:t>Toque Paris : P513</w:t>
    </w:r>
  </w:p>
  <w:p w:rsidR="00A96FA9" w:rsidRPr="00165AE5" w:rsidRDefault="00AA6B6F" w:rsidP="00A96FA9">
    <w:pPr>
      <w:tabs>
        <w:tab w:val="left" w:pos="2268"/>
        <w:tab w:val="left" w:pos="4253"/>
        <w:tab w:val="left" w:pos="7513"/>
      </w:tabs>
      <w:rPr>
        <w:b/>
        <w:sz w:val="13"/>
        <w:szCs w:val="13"/>
      </w:rPr>
    </w:pPr>
    <w:r w:rsidRPr="00165AE5">
      <w:rPr>
        <w:b/>
        <w:sz w:val="13"/>
        <w:szCs w:val="13"/>
      </w:rPr>
      <w:t>69281 LYON CEDEX 01</w:t>
    </w:r>
    <w:r w:rsidRPr="00165AE5">
      <w:rPr>
        <w:b/>
        <w:sz w:val="13"/>
        <w:szCs w:val="13"/>
      </w:rPr>
      <w:tab/>
      <w:t>Tél : 33 (0)1 53 70 69 69</w:t>
    </w:r>
    <w:r w:rsidRPr="00165AE5">
      <w:rPr>
        <w:b/>
        <w:sz w:val="13"/>
        <w:szCs w:val="13"/>
      </w:rPr>
      <w:tab/>
      <w:t>449 198 050 RCS Lyon</w:t>
    </w:r>
  </w:p>
  <w:p w:rsidR="00A96FA9" w:rsidRPr="00165AE5" w:rsidRDefault="00AA6B6F" w:rsidP="00A96FA9">
    <w:pPr>
      <w:tabs>
        <w:tab w:val="left" w:pos="2268"/>
        <w:tab w:val="left" w:pos="4253"/>
        <w:tab w:val="left" w:pos="7513"/>
      </w:tabs>
      <w:rPr>
        <w:b/>
        <w:sz w:val="13"/>
        <w:szCs w:val="13"/>
      </w:rPr>
    </w:pPr>
    <w:r>
      <w:rPr>
        <w:noProof/>
        <w:lang w:eastAsia="fr-FR"/>
      </w:rPr>
      <w:drawing>
        <wp:anchor distT="0" distB="0" distL="114300" distR="114300" simplePos="0" relativeHeight="251660288" behindDoc="0" locked="0" layoutInCell="1" allowOverlap="1" wp14:anchorId="3C290435" wp14:editId="0C9334D5">
          <wp:simplePos x="0" y="0"/>
          <wp:positionH relativeFrom="column">
            <wp:posOffset>4479290</wp:posOffset>
          </wp:positionH>
          <wp:positionV relativeFrom="paragraph">
            <wp:posOffset>-635</wp:posOffset>
          </wp:positionV>
          <wp:extent cx="1203325" cy="288925"/>
          <wp:effectExtent l="0" t="0" r="0" b="0"/>
          <wp:wrapNone/>
          <wp:docPr id="49" name="Image 49" descr="TELFA%20PAR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TELFA%20PARLE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25" cy="288925"/>
                  </a:xfrm>
                  <a:prstGeom prst="rect">
                    <a:avLst/>
                  </a:prstGeom>
                  <a:noFill/>
                </pic:spPr>
              </pic:pic>
            </a:graphicData>
          </a:graphic>
          <wp14:sizeRelH relativeFrom="page">
            <wp14:pctWidth>0</wp14:pctWidth>
          </wp14:sizeRelH>
          <wp14:sizeRelV relativeFrom="page">
            <wp14:pctHeight>0</wp14:pctHeight>
          </wp14:sizeRelV>
        </wp:anchor>
      </w:drawing>
    </w:r>
    <w:r w:rsidRPr="00165AE5">
      <w:rPr>
        <w:b/>
        <w:sz w:val="13"/>
        <w:szCs w:val="13"/>
      </w:rPr>
      <w:t>Tél : 33 (0)4 72 10 20 30</w:t>
    </w:r>
    <w:r w:rsidRPr="00165AE5">
      <w:rPr>
        <w:b/>
        <w:sz w:val="13"/>
        <w:szCs w:val="13"/>
      </w:rPr>
      <w:tab/>
      <w:t>Fax : 33 (0)1 53 70 69 60</w:t>
    </w:r>
    <w:r w:rsidRPr="00165AE5">
      <w:rPr>
        <w:b/>
        <w:sz w:val="13"/>
        <w:szCs w:val="13"/>
      </w:rPr>
      <w:tab/>
    </w:r>
    <w:r>
      <w:rPr>
        <w:b/>
        <w:sz w:val="13"/>
        <w:szCs w:val="13"/>
      </w:rPr>
      <w:t>Siège social : 11, quai Lassagne-69001 LYON</w:t>
    </w:r>
  </w:p>
  <w:p w:rsidR="00405F99" w:rsidRDefault="00AA6B6F" w:rsidP="00A96FA9">
    <w:pPr>
      <w:tabs>
        <w:tab w:val="left" w:pos="2410"/>
        <w:tab w:val="left" w:pos="4253"/>
        <w:tab w:val="left" w:pos="7513"/>
      </w:tabs>
      <w:rPr>
        <w:b/>
        <w:sz w:val="13"/>
        <w:szCs w:val="13"/>
      </w:rPr>
    </w:pPr>
    <w:r w:rsidRPr="00165AE5">
      <w:rPr>
        <w:b/>
        <w:sz w:val="13"/>
        <w:szCs w:val="13"/>
      </w:rPr>
      <w:t>Fax : 33 (0)4 72 10 20 31</w:t>
    </w:r>
    <w:r>
      <w:rPr>
        <w:b/>
        <w:sz w:val="13"/>
        <w:szCs w:val="13"/>
      </w:rPr>
      <w:tab/>
    </w:r>
    <w:r>
      <w:rPr>
        <w:b/>
        <w:sz w:val="13"/>
        <w:szCs w:val="13"/>
      </w:rPr>
      <w:tab/>
    </w:r>
    <w:r w:rsidRPr="00165AE5">
      <w:rPr>
        <w:b/>
        <w:sz w:val="13"/>
        <w:szCs w:val="13"/>
      </w:rPr>
      <w:t>TVA : FR 31 449 198 050</w:t>
    </w:r>
  </w:p>
  <w:p w:rsidR="00A96FA9" w:rsidRDefault="00CE753E" w:rsidP="00CE753E">
    <w:pPr>
      <w:tabs>
        <w:tab w:val="left" w:pos="2410"/>
        <w:tab w:val="left" w:pos="4253"/>
        <w:tab w:val="left" w:pos="7513"/>
      </w:tabs>
      <w:jc w:val="right"/>
      <w:rPr>
        <w:b/>
        <w:sz w:val="13"/>
        <w:szCs w:val="13"/>
      </w:rPr>
    </w:pPr>
    <w:r w:rsidRPr="00CE753E">
      <w:rPr>
        <w:rFonts w:ascii="Calibri" w:hAnsi="Calibri" w:cs="Calibri"/>
        <w:color w:val="000000"/>
        <w:sz w:val="16"/>
        <w:szCs w:val="13"/>
      </w:rPr>
      <w:fldChar w:fldCharType="begin"/>
    </w:r>
    <w:r w:rsidRPr="00CE753E">
      <w:rPr>
        <w:rFonts w:ascii="Calibri" w:hAnsi="Calibri" w:cs="Calibri"/>
        <w:color w:val="000000"/>
        <w:sz w:val="16"/>
        <w:szCs w:val="13"/>
      </w:rPr>
      <w:instrText xml:space="preserve">    DOCVARIABLE EfId_Delsol \* MERGEFORMAT   </w:instrText>
    </w:r>
    <w:r>
      <w:rPr>
        <w:b/>
        <w:sz w:val="13"/>
        <w:szCs w:val="13"/>
      </w:rPr>
      <w:instrText xml:space="preserve"> </w:instrText>
    </w:r>
    <w:r>
      <w:rPr>
        <w:rFonts w:ascii="Calibri" w:hAnsi="Calibri" w:cs="Calibri"/>
        <w:color w:val="000000"/>
        <w:sz w:val="16"/>
        <w:szCs w:val="13"/>
      </w:rPr>
      <w:fldChar w:fldCharType="separate"/>
    </w:r>
    <w:r>
      <w:rPr>
        <w:rFonts w:ascii="Calibri" w:hAnsi="Calibri" w:cs="Calibri"/>
        <w:color w:val="000000"/>
        <w:sz w:val="16"/>
        <w:szCs w:val="13"/>
      </w:rPr>
      <w:t>8911523.3</w:t>
    </w:r>
    <w:r>
      <w:rPr>
        <w:b/>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610" w:rsidRDefault="005D4610">
      <w:r>
        <w:separator/>
      </w:r>
    </w:p>
  </w:footnote>
  <w:footnote w:type="continuationSeparator" w:id="0">
    <w:p w:rsidR="005D4610" w:rsidRDefault="005D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A9" w:rsidRDefault="00CE753E">
    <w:pPr>
      <w:pStyle w:val="En-tte"/>
    </w:pPr>
  </w:p>
  <w:p w:rsidR="00A96FA9" w:rsidRDefault="00CE753E"/>
  <w:p w:rsidR="00A96FA9" w:rsidRDefault="00CE753E"/>
  <w:p w:rsidR="00A96FA9" w:rsidRDefault="00CE753E" w:rsidP="00A96FA9"/>
  <w:p w:rsidR="00A96FA9" w:rsidRDefault="00CE753E" w:rsidP="00A96F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A9" w:rsidRPr="008B05E5" w:rsidRDefault="00AA6B6F" w:rsidP="00A96FA9">
    <w:pPr>
      <w:pStyle w:val="En-tte"/>
      <w:pBdr>
        <w:bottom w:val="single" w:sz="4" w:space="1" w:color="C0BABA"/>
      </w:pBdr>
      <w:tabs>
        <w:tab w:val="clear" w:pos="4320"/>
        <w:tab w:val="clear" w:pos="8640"/>
      </w:tabs>
      <w:spacing w:after="0"/>
      <w:ind w:left="993" w:hanging="993"/>
      <w:jc w:val="right"/>
      <w:rPr>
        <w:sz w:val="18"/>
      </w:rPr>
    </w:pPr>
    <w:r>
      <w:rPr>
        <w:noProof/>
      </w:rPr>
      <w:drawing>
        <wp:anchor distT="0" distB="0" distL="114300" distR="114300" simplePos="0" relativeHeight="251659264" behindDoc="0" locked="0" layoutInCell="1" allowOverlap="1" wp14:anchorId="68AACB2D" wp14:editId="7B417348">
          <wp:simplePos x="0" y="0"/>
          <wp:positionH relativeFrom="column">
            <wp:posOffset>-700807</wp:posOffset>
          </wp:positionH>
          <wp:positionV relativeFrom="paragraph">
            <wp:posOffset>-218394</wp:posOffset>
          </wp:positionV>
          <wp:extent cx="1281447" cy="565420"/>
          <wp:effectExtent l="0" t="0" r="0" b="6350"/>
          <wp:wrapNone/>
          <wp:docPr id="4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295" cy="564470"/>
                  </a:xfrm>
                  <a:prstGeom prst="rect">
                    <a:avLst/>
                  </a:prstGeom>
                  <a:noFill/>
                </pic:spPr>
              </pic:pic>
            </a:graphicData>
          </a:graphic>
          <wp14:sizeRelH relativeFrom="margin">
            <wp14:pctWidth>0</wp14:pctWidth>
          </wp14:sizeRelH>
          <wp14:sizeRelV relativeFrom="margin">
            <wp14:pctHeight>0</wp14:pctHeight>
          </wp14:sizeRelV>
        </wp:anchor>
      </w:drawing>
    </w:r>
    <w:r w:rsidRPr="008B05E5">
      <w:rPr>
        <w:sz w:val="18"/>
      </w:rPr>
      <w:tab/>
    </w:r>
    <w:r>
      <w:rPr>
        <w:sz w:val="18"/>
      </w:rPr>
      <w:tab/>
    </w:r>
    <w:r w:rsidRPr="008B05E5">
      <w:rPr>
        <w:color w:val="002060"/>
        <w:sz w:val="18"/>
      </w:rPr>
      <w:fldChar w:fldCharType="begin"/>
    </w:r>
    <w:r w:rsidRPr="008B05E5">
      <w:rPr>
        <w:color w:val="002060"/>
        <w:sz w:val="18"/>
      </w:rPr>
      <w:instrText xml:space="preserve"> STYLEREF  "Titre note"  \* MERGEFORMAT </w:instrText>
    </w:r>
    <w:r w:rsidRPr="008B05E5">
      <w:rPr>
        <w:color w:val="002060"/>
        <w:sz w:val="18"/>
      </w:rPr>
      <w:fldChar w:fldCharType="separate"/>
    </w:r>
    <w:r w:rsidR="00CE753E" w:rsidRPr="00CE753E">
      <w:rPr>
        <w:b/>
        <w:bCs/>
        <w:noProof/>
        <w:color w:val="002060"/>
        <w:sz w:val="18"/>
      </w:rPr>
      <w:t>Devis –</w:t>
    </w:r>
    <w:r w:rsidR="00CE753E">
      <w:rPr>
        <w:noProof/>
        <w:color w:val="002060"/>
        <w:sz w:val="18"/>
      </w:rPr>
      <w:t xml:space="preserve"> offre complémentaire proposée par les SPSTI</w:t>
    </w:r>
    <w:r w:rsidRPr="008B05E5">
      <w:rPr>
        <w:color w:val="002060"/>
        <w:sz w:val="18"/>
      </w:rPr>
      <w:fldChar w:fldCharType="end"/>
    </w:r>
    <w:r w:rsidRPr="008B05E5">
      <w:rPr>
        <w:sz w:val="18"/>
      </w:rPr>
      <w:fldChar w:fldCharType="begin"/>
    </w:r>
    <w:r w:rsidRPr="008B05E5">
      <w:rPr>
        <w:sz w:val="18"/>
      </w:rPr>
      <w:instrText xml:space="preserve"> AUTOTEXTLIST  \* FirstCap  \* MERGEFORMAT </w:instrText>
    </w:r>
    <w:r w:rsidRPr="008B05E5">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A9" w:rsidRDefault="00CE753E">
    <w:pPr>
      <w:pStyle w:val="En-tte"/>
    </w:pPr>
  </w:p>
  <w:p w:rsidR="00A96FA9" w:rsidRDefault="00AA6B6F" w:rsidP="00A96FA9">
    <w:pPr>
      <w:pStyle w:val="En-tte"/>
      <w:tabs>
        <w:tab w:val="clear" w:pos="4320"/>
        <w:tab w:val="clear" w:pos="8640"/>
        <w:tab w:val="left" w:pos="7027"/>
      </w:tabs>
      <w:spacing w:after="240"/>
    </w:pPr>
    <w:r>
      <w:rPr>
        <w:noProof/>
      </w:rPr>
      <w:drawing>
        <wp:anchor distT="0" distB="0" distL="114300" distR="114300" simplePos="0" relativeHeight="251664384" behindDoc="0" locked="0" layoutInCell="1" allowOverlap="1" wp14:anchorId="18F08D9D" wp14:editId="5F758EA2">
          <wp:simplePos x="0" y="0"/>
          <wp:positionH relativeFrom="margin">
            <wp:align>center</wp:align>
          </wp:positionH>
          <wp:positionV relativeFrom="margin">
            <wp:posOffset>-912495</wp:posOffset>
          </wp:positionV>
          <wp:extent cx="1628140" cy="694690"/>
          <wp:effectExtent l="0" t="0" r="0" b="0"/>
          <wp:wrapSquare wrapText="bothSides"/>
          <wp:docPr id="48" name="Image 4" descr="DEL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L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69469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5439"/>
    <w:multiLevelType w:val="hybridMultilevel"/>
    <w:tmpl w:val="831663BC"/>
    <w:lvl w:ilvl="0" w:tplc="98EC0742">
      <w:numFmt w:val="bullet"/>
      <w:pStyle w:val="Paragraphedeliste"/>
      <w:lvlText w:val="-"/>
      <w:lvlJc w:val="left"/>
      <w:pPr>
        <w:ind w:left="405" w:hanging="360"/>
      </w:pPr>
      <w:rPr>
        <w:rFonts w:ascii="Calibri" w:eastAsiaTheme="minorHAnsi" w:hAnsi="Calibri" w:cs="Calibri"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3C0013CF"/>
    <w:multiLevelType w:val="hybridMultilevel"/>
    <w:tmpl w:val="64E2CE7E"/>
    <w:lvl w:ilvl="0" w:tplc="1AA0EC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A135E1"/>
    <w:multiLevelType w:val="multilevel"/>
    <w:tmpl w:val="1BA043FE"/>
    <w:lvl w:ilvl="0">
      <w:start w:val="1"/>
      <w:numFmt w:val="decimal"/>
      <w:pStyle w:val="Titre1"/>
      <w:lvlText w:val="%1."/>
      <w:lvlJc w:val="left"/>
      <w:pPr>
        <w:ind w:left="357" w:hanging="357"/>
      </w:pPr>
      <w:rPr>
        <w:rFonts w:ascii="Calibri" w:hAnsi="Calibri" w:hint="default"/>
        <w:b/>
        <w:i w:val="0"/>
        <w:caps/>
        <w:sz w:val="22"/>
      </w:rPr>
    </w:lvl>
    <w:lvl w:ilvl="1">
      <w:start w:val="1"/>
      <w:numFmt w:val="decimal"/>
      <w:pStyle w:val="Titre2"/>
      <w:lvlText w:val="%1.%2"/>
      <w:lvlJc w:val="left"/>
      <w:pPr>
        <w:ind w:left="357" w:hanging="357"/>
      </w:pPr>
      <w:rPr>
        <w:rFonts w:ascii="Calibri" w:hAnsi="Calibri" w:hint="default"/>
        <w:b/>
        <w:i w:val="0"/>
        <w:color w:val="5B9BD5" w:themeColor="accent1"/>
        <w:sz w:val="22"/>
        <w:u w:val="none"/>
      </w:rPr>
    </w:lvl>
    <w:lvl w:ilvl="2">
      <w:start w:val="1"/>
      <w:numFmt w:val="decimal"/>
      <w:lvlText w:val="%1.%2.%3"/>
      <w:lvlJc w:val="left"/>
      <w:pPr>
        <w:ind w:left="567" w:hanging="567"/>
      </w:pPr>
      <w:rPr>
        <w:rFonts w:ascii="Calibri" w:hAnsi="Calibri" w:hint="default"/>
        <w:b/>
        <w:sz w:val="22"/>
        <w:u w:val="none"/>
      </w:rPr>
    </w:lvl>
    <w:lvl w:ilvl="3">
      <w:start w:val="1"/>
      <w:numFmt w:val="decimal"/>
      <w:lvlText w:val="%1.%2.%3.%4."/>
      <w:lvlJc w:val="left"/>
      <w:pPr>
        <w:ind w:left="567" w:hanging="567"/>
      </w:pPr>
      <w:rPr>
        <w:rFonts w:ascii="Calibri" w:hAnsi="Calibri" w:hint="default"/>
        <w:sz w:val="22"/>
      </w:rPr>
    </w:lvl>
    <w:lvl w:ilvl="4">
      <w:start w:val="1"/>
      <w:numFmt w:val="upperLetter"/>
      <w:lvlText w:val="%5."/>
      <w:lvlJc w:val="left"/>
      <w:pPr>
        <w:ind w:left="357" w:hanging="357"/>
      </w:pPr>
      <w:rPr>
        <w:rFonts w:ascii="Calibri" w:hAnsi="Calibri" w:hint="default"/>
        <w:b/>
        <w:i w:val="0"/>
        <w:sz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fId_Delsol" w:val="8911523.3"/>
    <w:docVar w:name="EfIdVariable_Alignment" w:val="Right"/>
    <w:docVar w:name="EfIdVariable_CodeText" w:val="{{   DOCVARIABLE EfId_Delsol \* MERGEFORMAT   }}"/>
    <w:docVar w:name="EfIdVariable_ColorIndex" w:val="Black"/>
    <w:docVar w:name="EfIdVariable_Font" w:val="Calibri"/>
    <w:docVar w:name="EfIdVariable_IsEfIdActive" w:val="true"/>
    <w:docVar w:name="EfIdVariable_IsEfIdActiveOnStart"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EfIdVariable_Location" w:val="Footer"/>
    <w:docVar w:name="EfIdVariable_Size" w:val="8"/>
  </w:docVars>
  <w:rsids>
    <w:rsidRoot w:val="001141DB"/>
    <w:rsid w:val="00012B8F"/>
    <w:rsid w:val="001141DB"/>
    <w:rsid w:val="0015136F"/>
    <w:rsid w:val="00160667"/>
    <w:rsid w:val="00282E49"/>
    <w:rsid w:val="002A5ECF"/>
    <w:rsid w:val="003D0571"/>
    <w:rsid w:val="00405F99"/>
    <w:rsid w:val="00471348"/>
    <w:rsid w:val="004C44E7"/>
    <w:rsid w:val="004D239B"/>
    <w:rsid w:val="005D1AE0"/>
    <w:rsid w:val="005D4610"/>
    <w:rsid w:val="00615398"/>
    <w:rsid w:val="007262F9"/>
    <w:rsid w:val="00731E6F"/>
    <w:rsid w:val="00735525"/>
    <w:rsid w:val="007C7188"/>
    <w:rsid w:val="007D7451"/>
    <w:rsid w:val="007E247F"/>
    <w:rsid w:val="00805EC7"/>
    <w:rsid w:val="0084251F"/>
    <w:rsid w:val="00882731"/>
    <w:rsid w:val="009C2C51"/>
    <w:rsid w:val="00A86C84"/>
    <w:rsid w:val="00AA6B6F"/>
    <w:rsid w:val="00BD2406"/>
    <w:rsid w:val="00CC211F"/>
    <w:rsid w:val="00CE753E"/>
    <w:rsid w:val="00D00520"/>
    <w:rsid w:val="00DF738B"/>
    <w:rsid w:val="00E44F3E"/>
    <w:rsid w:val="00EB41DA"/>
    <w:rsid w:val="00ED2D33"/>
    <w:rsid w:val="00F33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51A9"/>
  <w15:chartTrackingRefBased/>
  <w15:docId w15:val="{C3EF19CD-7725-47DB-8902-3840B56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1F"/>
    <w:pPr>
      <w:spacing w:after="0" w:line="240" w:lineRule="auto"/>
      <w:jc w:val="both"/>
    </w:pPr>
  </w:style>
  <w:style w:type="paragraph" w:styleId="Titre1">
    <w:name w:val="heading 1"/>
    <w:basedOn w:val="Normal"/>
    <w:next w:val="Normal"/>
    <w:link w:val="Titre1Car"/>
    <w:autoRedefine/>
    <w:qFormat/>
    <w:rsid w:val="00AA6B6F"/>
    <w:pPr>
      <w:keepNext/>
      <w:widowControl w:val="0"/>
      <w:numPr>
        <w:numId w:val="1"/>
      </w:numPr>
      <w:outlineLvl w:val="0"/>
    </w:pPr>
    <w:rPr>
      <w:rFonts w:ascii="Calibri" w:eastAsia="Tw Cen MT" w:hAnsi="Calibri" w:cs="Arial"/>
      <w:b/>
      <w:bCs/>
      <w:caps/>
      <w:color w:val="0070C0"/>
      <w:kern w:val="32"/>
      <w:szCs w:val="32"/>
      <w:u w:val="single"/>
      <w:lang w:eastAsia="fr-FR"/>
    </w:rPr>
  </w:style>
  <w:style w:type="paragraph" w:styleId="Titre2">
    <w:name w:val="heading 2"/>
    <w:basedOn w:val="Titre1"/>
    <w:next w:val="Normal"/>
    <w:link w:val="Titre2Car"/>
    <w:uiPriority w:val="9"/>
    <w:unhideWhenUsed/>
    <w:qFormat/>
    <w:rsid w:val="00AA6B6F"/>
    <w:pPr>
      <w:numPr>
        <w:ilvl w:val="1"/>
      </w:numPr>
      <w:outlineLvl w:val="1"/>
    </w:pPr>
    <w:rPr>
      <w:caps w:val="0"/>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A6B6F"/>
    <w:rPr>
      <w:rFonts w:ascii="Calibri" w:eastAsia="Tw Cen MT" w:hAnsi="Calibri" w:cs="Arial"/>
      <w:b/>
      <w:bCs/>
      <w:caps/>
      <w:color w:val="0070C0"/>
      <w:kern w:val="32"/>
      <w:szCs w:val="32"/>
      <w:u w:val="single"/>
      <w:lang w:eastAsia="fr-FR"/>
    </w:rPr>
  </w:style>
  <w:style w:type="character" w:customStyle="1" w:styleId="Titre2Car">
    <w:name w:val="Titre 2 Car"/>
    <w:basedOn w:val="Policepardfaut"/>
    <w:link w:val="Titre2"/>
    <w:uiPriority w:val="9"/>
    <w:rsid w:val="00AA6B6F"/>
    <w:rPr>
      <w:rFonts w:ascii="Calibri" w:eastAsia="Tw Cen MT" w:hAnsi="Calibri" w:cs="Arial"/>
      <w:b/>
      <w:bCs/>
      <w:color w:val="5B9BD5" w:themeColor="accent1"/>
      <w:kern w:val="32"/>
      <w:szCs w:val="32"/>
      <w:u w:val="single"/>
      <w:lang w:eastAsia="fr-FR"/>
    </w:rPr>
  </w:style>
  <w:style w:type="paragraph" w:customStyle="1" w:styleId="Adressedelexpditeur">
    <w:name w:val="Adresse de l'expéditeur"/>
    <w:basedOn w:val="Sansinterligne"/>
    <w:uiPriority w:val="3"/>
    <w:rsid w:val="00AA6B6F"/>
    <w:pPr>
      <w:spacing w:after="200"/>
    </w:pPr>
    <w:rPr>
      <w:color w:val="775F55"/>
    </w:rPr>
  </w:style>
  <w:style w:type="paragraph" w:customStyle="1" w:styleId="Adressedudestinataire">
    <w:name w:val="Adresse du destinataire"/>
    <w:basedOn w:val="Sansinterligne"/>
    <w:uiPriority w:val="4"/>
    <w:rsid w:val="00AA6B6F"/>
    <w:pPr>
      <w:spacing w:before="240"/>
      <w:contextualSpacing/>
    </w:pPr>
    <w:rPr>
      <w:color w:val="775F55"/>
    </w:rPr>
  </w:style>
  <w:style w:type="paragraph" w:styleId="Sansinterligne">
    <w:name w:val="No Spacing"/>
    <w:basedOn w:val="Normal"/>
    <w:uiPriority w:val="1"/>
    <w:qFormat/>
    <w:rsid w:val="00AA6B6F"/>
    <w:rPr>
      <w:rFonts w:ascii="Calibri" w:eastAsia="Tw Cen MT" w:hAnsi="Calibri" w:cs="Times New Roman"/>
      <w:lang w:eastAsia="fr-FR"/>
    </w:rPr>
  </w:style>
  <w:style w:type="paragraph" w:customStyle="1" w:styleId="Nomdelasocit">
    <w:name w:val="Nom de la société"/>
    <w:basedOn w:val="Normal"/>
    <w:uiPriority w:val="2"/>
    <w:rsid w:val="00AA6B6F"/>
    <w:rPr>
      <w:rFonts w:ascii="Calibri" w:eastAsia="Tw Cen MT" w:hAnsi="Calibri" w:cs="Times New Roman"/>
      <w:b/>
      <w:color w:val="775F55"/>
      <w:sz w:val="28"/>
      <w:szCs w:val="28"/>
      <w:lang w:eastAsia="fr-FR"/>
    </w:rPr>
  </w:style>
  <w:style w:type="paragraph" w:customStyle="1" w:styleId="Style2">
    <w:name w:val="Style2"/>
    <w:basedOn w:val="Normal"/>
    <w:qFormat/>
    <w:rsid w:val="00AA6B6F"/>
    <w:pPr>
      <w:shd w:val="clear" w:color="auto" w:fill="FFFFFF"/>
      <w:spacing w:before="300" w:after="270"/>
      <w:outlineLvl w:val="0"/>
    </w:pPr>
    <w:rPr>
      <w:rFonts w:ascii="Segoe UI Light" w:eastAsia="Times New Roman" w:hAnsi="Segoe UI Light" w:cs="Times New Roman"/>
      <w:color w:val="2F2F2F"/>
      <w:kern w:val="36"/>
      <w:sz w:val="56"/>
      <w:szCs w:val="56"/>
      <w:lang w:eastAsia="fr-FR"/>
    </w:rPr>
  </w:style>
  <w:style w:type="paragraph" w:customStyle="1" w:styleId="Titrenote">
    <w:name w:val="Titre note"/>
    <w:basedOn w:val="Sansinterligne"/>
    <w:qFormat/>
    <w:rsid w:val="00AA6B6F"/>
    <w:pPr>
      <w:pBdr>
        <w:bottom w:val="single" w:sz="2" w:space="1" w:color="F0810E"/>
      </w:pBdr>
      <w:spacing w:after="200" w:line="276" w:lineRule="auto"/>
    </w:pPr>
    <w:rPr>
      <w:b/>
      <w:sz w:val="28"/>
    </w:rPr>
  </w:style>
  <w:style w:type="character" w:customStyle="1" w:styleId="refdoc">
    <w:name w:val="refdoc"/>
    <w:rsid w:val="00AA6B6F"/>
  </w:style>
  <w:style w:type="paragraph" w:styleId="Paragraphedeliste">
    <w:name w:val="List Paragraph"/>
    <w:basedOn w:val="Normal"/>
    <w:uiPriority w:val="34"/>
    <w:unhideWhenUsed/>
    <w:qFormat/>
    <w:rsid w:val="00AA6B6F"/>
    <w:pPr>
      <w:numPr>
        <w:numId w:val="2"/>
      </w:numPr>
      <w:ind w:left="717"/>
      <w:contextualSpacing/>
    </w:pPr>
    <w:rPr>
      <w:rFonts w:eastAsia="Tw Cen MT" w:cs="Times New Roman"/>
      <w:lang w:eastAsia="fr-FR"/>
    </w:rPr>
  </w:style>
  <w:style w:type="paragraph" w:styleId="Pieddepage">
    <w:name w:val="footer"/>
    <w:basedOn w:val="Normal"/>
    <w:link w:val="PieddepageCar"/>
    <w:uiPriority w:val="99"/>
    <w:unhideWhenUsed/>
    <w:rsid w:val="00AA6B6F"/>
    <w:pPr>
      <w:tabs>
        <w:tab w:val="center" w:pos="4320"/>
        <w:tab w:val="right" w:pos="8640"/>
      </w:tabs>
      <w:spacing w:after="360"/>
    </w:pPr>
    <w:rPr>
      <w:rFonts w:ascii="Calibri" w:eastAsia="Tw Cen MT" w:hAnsi="Calibri" w:cs="Times New Roman"/>
      <w:lang w:eastAsia="fr-FR"/>
    </w:rPr>
  </w:style>
  <w:style w:type="character" w:customStyle="1" w:styleId="PieddepageCar">
    <w:name w:val="Pied de page Car"/>
    <w:basedOn w:val="Policepardfaut"/>
    <w:link w:val="Pieddepage"/>
    <w:uiPriority w:val="99"/>
    <w:rsid w:val="00AA6B6F"/>
    <w:rPr>
      <w:rFonts w:ascii="Calibri" w:eastAsia="Tw Cen MT" w:hAnsi="Calibri" w:cs="Times New Roman"/>
      <w:lang w:eastAsia="fr-FR"/>
    </w:rPr>
  </w:style>
  <w:style w:type="paragraph" w:styleId="En-tte">
    <w:name w:val="header"/>
    <w:basedOn w:val="Normal"/>
    <w:link w:val="En-tteCar"/>
    <w:uiPriority w:val="99"/>
    <w:unhideWhenUsed/>
    <w:rsid w:val="00AA6B6F"/>
    <w:pPr>
      <w:tabs>
        <w:tab w:val="center" w:pos="4320"/>
        <w:tab w:val="right" w:pos="8640"/>
      </w:tabs>
      <w:spacing w:after="360"/>
    </w:pPr>
    <w:rPr>
      <w:rFonts w:ascii="Calibri" w:eastAsia="Tw Cen MT" w:hAnsi="Calibri" w:cs="Times New Roman"/>
      <w:lang w:eastAsia="fr-FR"/>
    </w:rPr>
  </w:style>
  <w:style w:type="character" w:customStyle="1" w:styleId="En-tteCar">
    <w:name w:val="En-tête Car"/>
    <w:basedOn w:val="Policepardfaut"/>
    <w:link w:val="En-tte"/>
    <w:uiPriority w:val="99"/>
    <w:rsid w:val="00AA6B6F"/>
    <w:rPr>
      <w:rFonts w:ascii="Calibri" w:eastAsia="Tw Cen MT" w:hAnsi="Calibri" w:cs="Times New Roman"/>
      <w:lang w:eastAsia="fr-FR"/>
    </w:rPr>
  </w:style>
  <w:style w:type="paragraph" w:customStyle="1" w:styleId="Pieddepageimpaire">
    <w:name w:val="Pied de page impaire"/>
    <w:basedOn w:val="Normal"/>
    <w:unhideWhenUsed/>
    <w:rsid w:val="00AA6B6F"/>
    <w:pPr>
      <w:pBdr>
        <w:top w:val="single" w:sz="4" w:space="1" w:color="94B6D2"/>
      </w:pBdr>
      <w:spacing w:after="360"/>
      <w:jc w:val="right"/>
    </w:pPr>
    <w:rPr>
      <w:rFonts w:ascii="Calibri" w:eastAsia="Tw Cen MT" w:hAnsi="Calibri" w:cs="Times New Roman"/>
      <w:color w:val="775F55"/>
      <w:sz w:val="20"/>
      <w:lang w:eastAsia="fr-FR"/>
    </w:rPr>
  </w:style>
  <w:style w:type="character" w:styleId="Lienhypertexte">
    <w:name w:val="Hyperlink"/>
    <w:basedOn w:val="Policepardfaut"/>
    <w:uiPriority w:val="99"/>
    <w:semiHidden/>
    <w:unhideWhenUsed/>
    <w:rsid w:val="00012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9416">
      <w:bodyDiv w:val="1"/>
      <w:marLeft w:val="0"/>
      <w:marRight w:val="0"/>
      <w:marTop w:val="0"/>
      <w:marBottom w:val="0"/>
      <w:divBdr>
        <w:top w:val="none" w:sz="0" w:space="0" w:color="auto"/>
        <w:left w:val="none" w:sz="0" w:space="0" w:color="auto"/>
        <w:bottom w:val="none" w:sz="0" w:space="0" w:color="auto"/>
        <w:right w:val="none" w:sz="0" w:space="0" w:color="auto"/>
      </w:divBdr>
    </w:div>
    <w:div w:id="20247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france.gouv.fr/jorf/id/JORFSCTA000045653587"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www.legifrance.gouv.fr/jorf/id/JORFTEXT000043884445" TargetMode="Externa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legifrance.gouv.fr/codes/article_lc/LEGIARTI000043890101?idSecParent=LEGISCTA000006178104"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https://www.legifrance.gouv.fr/jorf/article_jo/JORFARTI000045653588"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legifrance.gouv.fr/codes/article_lc/LEGIARTI000043893828" TargetMode="External" Id="rId9" /><Relationship Type="http://schemas.openxmlformats.org/officeDocument/2006/relationships/footer" Target="footer1.xml" Id="rId14" /><Relationship Type="http://schemas.openxmlformats.org/officeDocument/2006/relationships/customXml" Target="/customXML/item.xml" Id="imanage.xml"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 D E L S O L ! 8 9 1 1 5 2 3 . 3 < / d o c u m e n t i d >  
     < s e n d e r i d > A B E C Q U A R T < / s e n d e r i d >  
     < s e n d e r e m a i l > A B E C Q U A R T @ D E L S O L A V O C A T S . C O M < / s e n d e r e m a i l >  
     < l a s t m o d i f i e d > 2 0 2 3 - 0 7 - 0 6 T 1 2 : 1 4 : 0 0 . 0 0 0 0 0 0 0 + 0 2 : 0 0 < / l a s t m o d i f i e d >  
     < d a t a b a s e > D E L S O L < / d a t a b a s e >  
 < / p r o p e r t i e s > 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3688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Griffet Delphine</dc:creator>
  <cp:keywords/>
  <dc:description/>
  <cp:lastModifiedBy>Becquart Alexis</cp:lastModifiedBy>
  <cp:revision>2</cp:revision>
  <dcterms:created xsi:type="dcterms:W3CDTF">2023-07-06T10:14:00Z</dcterms:created>
  <dcterms:modified xsi:type="dcterms:W3CDTF">2023-07-06T10:14:00Z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Id_Delsol">
    <vt:lpwstr>8911523.3</vt:lpwstr>
  </property>
</Properties>
</file>