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3FFF" w14:textId="1D8A5495" w:rsidR="00DC528E" w:rsidRPr="00F246B6" w:rsidRDefault="00DC528E" w:rsidP="00DC528E">
      <w:pPr>
        <w:jc w:val="center"/>
        <w:rPr>
          <w:b/>
          <w:bCs/>
          <w:sz w:val="32"/>
          <w:szCs w:val="32"/>
        </w:rPr>
      </w:pPr>
    </w:p>
    <w:p w14:paraId="7EF0DB3E" w14:textId="25C37A35" w:rsidR="00DC528E" w:rsidRPr="00F246B6" w:rsidRDefault="00DC528E" w:rsidP="00DC528E">
      <w:pPr>
        <w:jc w:val="center"/>
        <w:rPr>
          <w:b/>
          <w:bCs/>
          <w:sz w:val="32"/>
          <w:szCs w:val="32"/>
        </w:rPr>
      </w:pPr>
    </w:p>
    <w:p w14:paraId="21DD93C5" w14:textId="00895506" w:rsidR="00DC528E" w:rsidRPr="00F246B6" w:rsidRDefault="00DC528E" w:rsidP="00DC528E">
      <w:pPr>
        <w:jc w:val="center"/>
        <w:rPr>
          <w:b/>
          <w:bCs/>
          <w:sz w:val="32"/>
          <w:szCs w:val="32"/>
        </w:rPr>
      </w:pPr>
    </w:p>
    <w:p w14:paraId="195480E9" w14:textId="30530A08" w:rsidR="00DC528E" w:rsidRPr="00F246B6" w:rsidRDefault="00DC528E" w:rsidP="00DC528E">
      <w:pPr>
        <w:jc w:val="center"/>
        <w:rPr>
          <w:b/>
          <w:bCs/>
          <w:sz w:val="32"/>
          <w:szCs w:val="32"/>
        </w:rPr>
      </w:pPr>
    </w:p>
    <w:p w14:paraId="53231780" w14:textId="27456FDD" w:rsidR="00DC528E" w:rsidRPr="00F246B6" w:rsidRDefault="00DC528E" w:rsidP="00DC528E">
      <w:pPr>
        <w:jc w:val="center"/>
        <w:rPr>
          <w:b/>
          <w:bCs/>
          <w:sz w:val="32"/>
          <w:szCs w:val="32"/>
        </w:rPr>
      </w:pPr>
    </w:p>
    <w:p w14:paraId="7601BC2E" w14:textId="02D0AC5A" w:rsidR="004A30A9" w:rsidRPr="00F246B6" w:rsidRDefault="003F419F" w:rsidP="0093214E">
      <w:pPr>
        <w:pStyle w:val="Titre"/>
      </w:pPr>
      <w:r>
        <w:t xml:space="preserve">PLAN D’ACTION </w:t>
      </w:r>
      <w:r w:rsidR="00B65F49" w:rsidRPr="00F246B6">
        <w:t>RELATIF À L’ÉGALITÉ PROFESS</w:t>
      </w:r>
      <w:r w:rsidR="00EA10C9">
        <w:t>I</w:t>
      </w:r>
      <w:r w:rsidR="00B65F49" w:rsidRPr="00F246B6">
        <w:t>ONNELLE ENTRE LES FEMMES ET LES HOMMES</w:t>
      </w:r>
    </w:p>
    <w:p w14:paraId="4C1434CA" w14:textId="3DEAAD54" w:rsidR="00AA3624" w:rsidRPr="00F246B6" w:rsidRDefault="00B65F49" w:rsidP="00AA3624">
      <w:pPr>
        <w:spacing w:after="0"/>
        <w:rPr>
          <w:b/>
          <w:bCs/>
          <w:color w:val="22B7C9"/>
          <w:sz w:val="56"/>
          <w:szCs w:val="56"/>
        </w:rPr>
      </w:pPr>
      <w:r w:rsidRPr="00F246B6">
        <w:rPr>
          <w:noProof/>
        </w:rPr>
        <mc:AlternateContent>
          <mc:Choice Requires="wps">
            <w:drawing>
              <wp:anchor distT="0" distB="0" distL="114300" distR="114300" simplePos="0" relativeHeight="251659264" behindDoc="0" locked="0" layoutInCell="1" allowOverlap="1" wp14:anchorId="57029B77" wp14:editId="41CF672E">
                <wp:simplePos x="0" y="0"/>
                <wp:positionH relativeFrom="margin">
                  <wp:posOffset>40640</wp:posOffset>
                </wp:positionH>
                <wp:positionV relativeFrom="paragraph">
                  <wp:posOffset>9525</wp:posOffset>
                </wp:positionV>
                <wp:extent cx="5743575" cy="19050"/>
                <wp:effectExtent l="0" t="0" r="28575" b="19050"/>
                <wp:wrapNone/>
                <wp:docPr id="1573517722" name="Connecteur droit 2"/>
                <wp:cNvGraphicFramePr/>
                <a:graphic xmlns:a="http://schemas.openxmlformats.org/drawingml/2006/main">
                  <a:graphicData uri="http://schemas.microsoft.com/office/word/2010/wordprocessingShape">
                    <wps:wsp>
                      <wps:cNvCnPr/>
                      <wps:spPr>
                        <a:xfrm>
                          <a:off x="0" y="0"/>
                          <a:ext cx="5743575" cy="19050"/>
                        </a:xfrm>
                        <a:prstGeom prst="line">
                          <a:avLst/>
                        </a:prstGeom>
                        <a:ln w="127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E9076"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75pt" to="4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" strokecolor="#0f9ed5 [3207]" strokeweight="1pt">
                <v:stroke joinstyle="miter"/>
                <w10:wrap anchorx="margin"/>
              </v:line>
            </w:pict>
          </mc:Fallback>
        </mc:AlternateContent>
      </w:r>
    </w:p>
    <w:p w14:paraId="23D26394" w14:textId="5BC35A87" w:rsidR="00011F2C" w:rsidRPr="00F246B6" w:rsidRDefault="00011F2C" w:rsidP="00DC528E">
      <w:pPr>
        <w:rPr>
          <w:i/>
          <w:iCs/>
          <w:szCs w:val="24"/>
        </w:rPr>
      </w:pPr>
    </w:p>
    <w:p w14:paraId="7714F5AC" w14:textId="1FC3460B" w:rsidR="00011F2C" w:rsidRPr="00F246B6" w:rsidRDefault="00011F2C" w:rsidP="00DC528E">
      <w:pPr>
        <w:rPr>
          <w:i/>
          <w:iCs/>
          <w:szCs w:val="24"/>
        </w:rPr>
      </w:pPr>
    </w:p>
    <w:p w14:paraId="7ADFD4BC" w14:textId="310A4EF1" w:rsidR="00011F2C" w:rsidRPr="00F246B6" w:rsidRDefault="00011F2C" w:rsidP="00DC528E">
      <w:pPr>
        <w:rPr>
          <w:i/>
          <w:iCs/>
          <w:szCs w:val="24"/>
        </w:rPr>
      </w:pPr>
    </w:p>
    <w:p w14:paraId="7BBEA628" w14:textId="77777777" w:rsidR="00011F2C" w:rsidRPr="00F246B6" w:rsidRDefault="00011F2C" w:rsidP="00DC528E">
      <w:pPr>
        <w:rPr>
          <w:i/>
          <w:iCs/>
          <w:szCs w:val="24"/>
        </w:rPr>
      </w:pPr>
    </w:p>
    <w:p w14:paraId="04D0E7C2" w14:textId="531BCC10" w:rsidR="00011F2C" w:rsidRPr="00F246B6" w:rsidRDefault="00011F2C" w:rsidP="00DC528E">
      <w:pPr>
        <w:rPr>
          <w:i/>
          <w:iCs/>
          <w:szCs w:val="24"/>
        </w:rPr>
      </w:pPr>
    </w:p>
    <w:p w14:paraId="09757792" w14:textId="77777777" w:rsidR="00DC528E" w:rsidRPr="00F246B6" w:rsidRDefault="00DC528E" w:rsidP="00DC528E">
      <w:pPr>
        <w:rPr>
          <w:szCs w:val="24"/>
        </w:rPr>
      </w:pPr>
    </w:p>
    <w:p w14:paraId="01A17627" w14:textId="77777777" w:rsidR="00AA3624" w:rsidRPr="00F246B6" w:rsidRDefault="00AA3624" w:rsidP="00AA3624">
      <w:pPr>
        <w:rPr>
          <w:i/>
          <w:iCs/>
          <w:szCs w:val="24"/>
        </w:rPr>
      </w:pPr>
    </w:p>
    <w:p w14:paraId="376A907C" w14:textId="77777777" w:rsidR="00AA3624" w:rsidRPr="00F246B6" w:rsidRDefault="00AA3624" w:rsidP="00AA3624">
      <w:pPr>
        <w:rPr>
          <w:i/>
          <w:iCs/>
          <w:szCs w:val="24"/>
        </w:rPr>
      </w:pPr>
    </w:p>
    <w:p w14:paraId="3FF2C023" w14:textId="77777777" w:rsidR="00AA3624" w:rsidRPr="00F246B6" w:rsidRDefault="00AA3624" w:rsidP="00AA3624">
      <w:pPr>
        <w:rPr>
          <w:i/>
          <w:iCs/>
          <w:szCs w:val="24"/>
        </w:rPr>
      </w:pPr>
    </w:p>
    <w:p w14:paraId="4D6413D8" w14:textId="77777777" w:rsidR="00AA3624" w:rsidRPr="00F246B6" w:rsidRDefault="00AA3624" w:rsidP="00AA3624">
      <w:pPr>
        <w:rPr>
          <w:i/>
          <w:iCs/>
          <w:szCs w:val="24"/>
        </w:rPr>
      </w:pPr>
    </w:p>
    <w:p w14:paraId="04392252" w14:textId="77777777" w:rsidR="00AA3624" w:rsidRPr="00F246B6" w:rsidRDefault="00AA3624" w:rsidP="00AA3624">
      <w:pPr>
        <w:rPr>
          <w:i/>
          <w:iCs/>
          <w:szCs w:val="24"/>
        </w:rPr>
      </w:pPr>
    </w:p>
    <w:p w14:paraId="08607E57" w14:textId="77777777" w:rsidR="00AA3624" w:rsidRPr="00F246B6" w:rsidRDefault="00AA3624" w:rsidP="00AA3624">
      <w:pPr>
        <w:rPr>
          <w:i/>
          <w:iCs/>
          <w:szCs w:val="24"/>
        </w:rPr>
      </w:pPr>
    </w:p>
    <w:p w14:paraId="19714098" w14:textId="77777777" w:rsidR="00AA3624" w:rsidRPr="00F246B6" w:rsidRDefault="00AA3624" w:rsidP="00AA3624">
      <w:pPr>
        <w:rPr>
          <w:i/>
          <w:iCs/>
          <w:szCs w:val="24"/>
        </w:rPr>
      </w:pPr>
    </w:p>
    <w:p w14:paraId="14C76882" w14:textId="77777777" w:rsidR="00AA3624" w:rsidRPr="00F246B6" w:rsidRDefault="00AA3624" w:rsidP="00AA3624">
      <w:pPr>
        <w:rPr>
          <w:i/>
          <w:iCs/>
          <w:szCs w:val="24"/>
        </w:rPr>
      </w:pPr>
    </w:p>
    <w:p w14:paraId="255884CF" w14:textId="6DDFFD19" w:rsidR="002C2CEF" w:rsidRDefault="002C2CEF">
      <w:pPr>
        <w:jc w:val="left"/>
        <w:rPr>
          <w:i/>
          <w:iCs/>
          <w:szCs w:val="24"/>
        </w:rPr>
      </w:pPr>
      <w:r>
        <w:rPr>
          <w:i/>
          <w:iCs/>
          <w:szCs w:val="24"/>
        </w:rPr>
        <w:br w:type="page"/>
      </w:r>
    </w:p>
    <w:p w14:paraId="44FDAB95" w14:textId="77777777" w:rsidR="00CA4474" w:rsidRPr="00F246B6" w:rsidRDefault="00CA4474" w:rsidP="00DD35B8">
      <w:pPr>
        <w:rPr>
          <w:rStyle w:val="Titre2Car"/>
        </w:rPr>
      </w:pPr>
    </w:p>
    <w:p w14:paraId="339232F9" w14:textId="6B3D2F9D" w:rsidR="0093214E" w:rsidRPr="00F246B6" w:rsidRDefault="00DD35B8" w:rsidP="00DD35B8">
      <w:pPr>
        <w:rPr>
          <w:b/>
          <w:bCs/>
          <w:i/>
          <w:iCs/>
          <w:color w:val="22B7C9"/>
          <w:szCs w:val="24"/>
        </w:rPr>
      </w:pPr>
      <w:r w:rsidRPr="00F246B6">
        <w:rPr>
          <w:rStyle w:val="Titre2Car"/>
        </w:rPr>
        <w:t>Avant-propos :</w:t>
      </w:r>
      <w:r w:rsidRPr="00F246B6">
        <w:rPr>
          <w:b/>
          <w:bCs/>
          <w:i/>
          <w:iCs/>
          <w:color w:val="22B7C9"/>
          <w:szCs w:val="24"/>
        </w:rPr>
        <w:t xml:space="preserve"> </w:t>
      </w:r>
    </w:p>
    <w:p w14:paraId="5A0AB4AD" w14:textId="321410EB" w:rsidR="00AA572A" w:rsidRDefault="00AA572A" w:rsidP="0093214E">
      <w:pPr>
        <w:pStyle w:val="Titre2"/>
        <w:rPr>
          <w:rFonts w:eastAsiaTheme="minorHAnsi" w:cstheme="minorBidi"/>
          <w:b w:val="0"/>
          <w:sz w:val="24"/>
          <w:szCs w:val="24"/>
        </w:rPr>
      </w:pPr>
      <w:r w:rsidRPr="00AA572A">
        <w:rPr>
          <w:rFonts w:eastAsiaTheme="minorHAnsi" w:cstheme="minorBidi"/>
          <w:b w:val="0"/>
          <w:sz w:val="24"/>
          <w:szCs w:val="24"/>
        </w:rPr>
        <w:t xml:space="preserve">La présente trame vise à accompagner les entreprises dans la formalisation de leur </w:t>
      </w:r>
      <w:r w:rsidR="003F419F">
        <w:rPr>
          <w:rFonts w:eastAsiaTheme="minorHAnsi" w:cstheme="minorBidi"/>
          <w:b w:val="0"/>
          <w:sz w:val="24"/>
          <w:szCs w:val="24"/>
        </w:rPr>
        <w:t>plan d’action</w:t>
      </w:r>
      <w:r w:rsidRPr="00AA572A">
        <w:rPr>
          <w:rFonts w:eastAsiaTheme="minorHAnsi" w:cstheme="minorBidi"/>
          <w:b w:val="0"/>
          <w:sz w:val="24"/>
          <w:szCs w:val="24"/>
        </w:rPr>
        <w:t xml:space="preserve"> relatif à l’égalité professionnelle entre les femmes et les hommes.</w:t>
      </w:r>
    </w:p>
    <w:p w14:paraId="4694B478" w14:textId="6FDA1B5C" w:rsidR="0093214E" w:rsidRDefault="00AA572A" w:rsidP="0093214E">
      <w:pPr>
        <w:pStyle w:val="Titre2"/>
        <w:rPr>
          <w:rFonts w:eastAsiaTheme="minorHAnsi" w:cstheme="minorBidi"/>
          <w:b w:val="0"/>
          <w:sz w:val="24"/>
          <w:szCs w:val="24"/>
        </w:rPr>
      </w:pPr>
      <w:r w:rsidRPr="00AA572A">
        <w:rPr>
          <w:rFonts w:eastAsiaTheme="minorHAnsi" w:cstheme="minorBidi"/>
          <w:b w:val="0"/>
          <w:sz w:val="24"/>
          <w:szCs w:val="24"/>
        </w:rPr>
        <w:br/>
        <w:t>Elle propose un cadre structuré permettant de définir des objectifs de progression, des actions concrètes et des indicateurs de suivi.</w:t>
      </w:r>
      <w:r w:rsidR="00F8602E">
        <w:rPr>
          <w:rFonts w:eastAsiaTheme="minorHAnsi" w:cstheme="minorBidi"/>
          <w:b w:val="0"/>
          <w:sz w:val="24"/>
          <w:szCs w:val="24"/>
        </w:rPr>
        <w:t xml:space="preserve"> Cette trame est adaptable en fonction de la taille de l’entreprise et de ses enjeux spécifiques.</w:t>
      </w:r>
    </w:p>
    <w:p w14:paraId="0046D3DD" w14:textId="77777777" w:rsidR="00AA572A" w:rsidRPr="00AA572A" w:rsidRDefault="00AA572A" w:rsidP="00AA572A"/>
    <w:p w14:paraId="4A94B0D3" w14:textId="56B1E9EE" w:rsidR="0093214E" w:rsidRPr="00F246B6" w:rsidRDefault="0093214E" w:rsidP="0093214E">
      <w:pPr>
        <w:pStyle w:val="Titre2"/>
      </w:pPr>
      <w:r w:rsidRPr="00F246B6">
        <w:t xml:space="preserve">Repères méthodologiques – les grandes étapes de la négociation </w:t>
      </w:r>
    </w:p>
    <w:p w14:paraId="630BD679" w14:textId="77777777" w:rsidR="00DD35B8" w:rsidRPr="00F246B6" w:rsidRDefault="00DD35B8" w:rsidP="00DD35B8">
      <w:pPr>
        <w:rPr>
          <w:i/>
          <w:iCs/>
          <w:color w:val="22B7C9"/>
          <w:szCs w:val="24"/>
        </w:rPr>
      </w:pPr>
    </w:p>
    <w:p w14:paraId="403E5178" w14:textId="27B55BE1" w:rsidR="0093214E" w:rsidRPr="00F246B6" w:rsidRDefault="00BD7B29" w:rsidP="0093214E">
      <w:pPr>
        <w:rPr>
          <w:color w:val="22B7C9"/>
        </w:rPr>
      </w:pPr>
      <w:r>
        <w:rPr>
          <w:b/>
          <w:bCs/>
          <w:color w:val="22B7C9"/>
        </w:rPr>
        <w:t>1</w:t>
      </w:r>
      <w:r w:rsidR="0093214E" w:rsidRPr="00F246B6">
        <w:rPr>
          <w:b/>
          <w:bCs/>
          <w:color w:val="22B7C9"/>
        </w:rPr>
        <w:t xml:space="preserve">. Réalisation du diagnostic </w:t>
      </w:r>
      <w:r>
        <w:rPr>
          <w:b/>
          <w:bCs/>
          <w:color w:val="22B7C9"/>
        </w:rPr>
        <w:t>égalité professionnelle</w:t>
      </w:r>
      <w:r w:rsidR="0093214E" w:rsidRPr="00F246B6">
        <w:rPr>
          <w:color w:val="22B7C9"/>
        </w:rPr>
        <w:br/>
        <w:t>Analyse de la situation comparée entre les femmes et les hommes, notamment à partir de la BDESE et de l’</w:t>
      </w:r>
      <w:r w:rsidR="00962E97">
        <w:rPr>
          <w:color w:val="22B7C9"/>
        </w:rPr>
        <w:t>i</w:t>
      </w:r>
      <w:r w:rsidR="0093214E" w:rsidRPr="00F246B6">
        <w:rPr>
          <w:color w:val="22B7C9"/>
        </w:rPr>
        <w:t>ndex de l’égalité professionnelle, afin d’objectiver les constats.</w:t>
      </w:r>
    </w:p>
    <w:p w14:paraId="31C8517F" w14:textId="38012468" w:rsidR="0093214E" w:rsidRPr="00F246B6" w:rsidRDefault="00BD7B29" w:rsidP="0093214E">
      <w:pPr>
        <w:rPr>
          <w:color w:val="22B7C9"/>
        </w:rPr>
      </w:pPr>
      <w:r>
        <w:rPr>
          <w:b/>
          <w:bCs/>
          <w:color w:val="22B7C9"/>
        </w:rPr>
        <w:t>2</w:t>
      </w:r>
      <w:r w:rsidR="0093214E" w:rsidRPr="00F246B6">
        <w:rPr>
          <w:b/>
          <w:bCs/>
          <w:color w:val="22B7C9"/>
        </w:rPr>
        <w:t>. Définition des domaines d’action prioritaires</w:t>
      </w:r>
      <w:r w:rsidR="0093214E" w:rsidRPr="00F246B6">
        <w:rPr>
          <w:color w:val="22B7C9"/>
        </w:rPr>
        <w:br/>
        <w:t xml:space="preserve">Identification des thématiques à traiter (rémunération, promotion, articulation </w:t>
      </w:r>
      <w:r w:rsidR="00962E97">
        <w:rPr>
          <w:color w:val="22B7C9"/>
        </w:rPr>
        <w:t>entre l’activité professionnelle et la vie personnelle et familiale</w:t>
      </w:r>
      <w:r w:rsidR="0093214E" w:rsidRPr="00F246B6">
        <w:rPr>
          <w:color w:val="22B7C9"/>
        </w:rPr>
        <w:t>, conditions de travail, etc.) en fonction des enjeux de l’établissement.</w:t>
      </w:r>
    </w:p>
    <w:p w14:paraId="6CEB3400" w14:textId="74EAD60F" w:rsidR="0093214E" w:rsidRPr="00F246B6" w:rsidRDefault="00BD7B29" w:rsidP="0093214E">
      <w:pPr>
        <w:rPr>
          <w:color w:val="22B7C9"/>
        </w:rPr>
      </w:pPr>
      <w:r>
        <w:rPr>
          <w:b/>
          <w:bCs/>
          <w:color w:val="22B7C9"/>
        </w:rPr>
        <w:t>3</w:t>
      </w:r>
      <w:r w:rsidR="0093214E" w:rsidRPr="00F246B6">
        <w:rPr>
          <w:b/>
          <w:bCs/>
          <w:color w:val="22B7C9"/>
        </w:rPr>
        <w:t>. Élaboration des actions et des mesures associées</w:t>
      </w:r>
      <w:r w:rsidR="0093214E" w:rsidRPr="00F246B6">
        <w:rPr>
          <w:color w:val="22B7C9"/>
        </w:rPr>
        <w:br/>
        <w:t>Construction de pistes d’actions concrètes, adaptées aux résultats du diagnostic et aux capacités de mise en œuvre.</w:t>
      </w:r>
    </w:p>
    <w:p w14:paraId="1636CD0D" w14:textId="2FA3617C" w:rsidR="0093214E" w:rsidRPr="00F246B6" w:rsidRDefault="00BD7B29" w:rsidP="0093214E">
      <w:pPr>
        <w:rPr>
          <w:color w:val="22B7C9"/>
        </w:rPr>
      </w:pPr>
      <w:r>
        <w:rPr>
          <w:b/>
          <w:bCs/>
          <w:color w:val="22B7C9"/>
        </w:rPr>
        <w:t>4</w:t>
      </w:r>
      <w:r w:rsidR="0093214E" w:rsidRPr="00F246B6">
        <w:rPr>
          <w:b/>
          <w:bCs/>
          <w:color w:val="22B7C9"/>
        </w:rPr>
        <w:t xml:space="preserve">. Rédaction, finalisation et dépôt </w:t>
      </w:r>
      <w:r>
        <w:rPr>
          <w:b/>
          <w:bCs/>
          <w:color w:val="22B7C9"/>
        </w:rPr>
        <w:t>du plan d’action égalité professionnelle</w:t>
      </w:r>
      <w:r w:rsidR="0093214E" w:rsidRPr="00F246B6">
        <w:rPr>
          <w:color w:val="22B7C9"/>
        </w:rPr>
        <w:br/>
        <w:t xml:space="preserve">Formalisation des engagements, </w:t>
      </w:r>
      <w:r w:rsidR="002B33D7">
        <w:rPr>
          <w:color w:val="22B7C9"/>
        </w:rPr>
        <w:t xml:space="preserve">relecture </w:t>
      </w:r>
      <w:r w:rsidR="0093214E" w:rsidRPr="00F246B6">
        <w:rPr>
          <w:color w:val="22B7C9"/>
        </w:rPr>
        <w:t xml:space="preserve">et dépôt </w:t>
      </w:r>
      <w:r w:rsidR="002B33D7">
        <w:rPr>
          <w:color w:val="22B7C9"/>
        </w:rPr>
        <w:t>du plan d’action par la direction</w:t>
      </w:r>
      <w:r w:rsidR="0093214E" w:rsidRPr="00F246B6">
        <w:rPr>
          <w:color w:val="22B7C9"/>
        </w:rPr>
        <w:t xml:space="preserve"> dans les conditions réglementaires.</w:t>
      </w:r>
    </w:p>
    <w:p w14:paraId="6E448E96" w14:textId="77777777" w:rsidR="00CA4474" w:rsidRPr="00F246B6" w:rsidRDefault="00CA4474">
      <w:pPr>
        <w:rPr>
          <w:i/>
          <w:iCs/>
          <w:color w:val="22B7C9"/>
          <w:szCs w:val="24"/>
        </w:rPr>
      </w:pPr>
    </w:p>
    <w:p w14:paraId="3698ACDE" w14:textId="6324C9F4" w:rsidR="00DD35B8" w:rsidRPr="00F246B6" w:rsidRDefault="0034097A" w:rsidP="0059428F">
      <w:pPr>
        <w:pStyle w:val="Titre2"/>
        <w:rPr>
          <w:b w:val="0"/>
          <w:bCs/>
          <w:szCs w:val="24"/>
        </w:rPr>
      </w:pPr>
      <w:r w:rsidRPr="00F246B6">
        <w:t xml:space="preserve">A noter : </w:t>
      </w:r>
      <w:r w:rsidR="0059428F" w:rsidRPr="0059428F">
        <w:t>Le plan d’action est établi pour une durée d’un an, afin de permettre un suivi régulier des engagements et leur réévaluation.</w:t>
      </w:r>
      <w:r w:rsidR="00DD35B8" w:rsidRPr="00F246B6">
        <w:rPr>
          <w:bCs/>
          <w:szCs w:val="24"/>
        </w:rPr>
        <w:br w:type="page"/>
      </w:r>
    </w:p>
    <w:p w14:paraId="215683B6" w14:textId="01B5F223" w:rsidR="007E7530" w:rsidRPr="00F246B6" w:rsidRDefault="007E7530" w:rsidP="00F246B6">
      <w:pPr>
        <w:pStyle w:val="Sous-titre"/>
      </w:pPr>
      <w:r w:rsidRPr="00F246B6">
        <w:lastRenderedPageBreak/>
        <w:t>Article 1 – P</w:t>
      </w:r>
      <w:r w:rsidR="00F246B6">
        <w:t>réambule</w:t>
      </w:r>
    </w:p>
    <w:p w14:paraId="0F07A08E" w14:textId="1302A4E1" w:rsidR="007E7530" w:rsidRPr="00F246B6" w:rsidRDefault="007E7530" w:rsidP="007E7530">
      <w:pPr>
        <w:rPr>
          <w:rFonts w:cs="Tahoma"/>
          <w:szCs w:val="23"/>
        </w:rPr>
      </w:pPr>
      <w:r w:rsidRPr="00F246B6">
        <w:rPr>
          <w:rFonts w:cs="Tahoma"/>
          <w:szCs w:val="23"/>
        </w:rPr>
        <w:t xml:space="preserve">Le présent </w:t>
      </w:r>
      <w:r w:rsidR="00427F9C">
        <w:rPr>
          <w:rFonts w:cs="Tahoma"/>
          <w:szCs w:val="23"/>
        </w:rPr>
        <w:t>plan d’action</w:t>
      </w:r>
      <w:r w:rsidRPr="00F246B6">
        <w:rPr>
          <w:rFonts w:cs="Tahoma"/>
          <w:szCs w:val="23"/>
        </w:rPr>
        <w:t xml:space="preserve"> est conclu en application des articles L.2242-</w:t>
      </w:r>
      <w:r w:rsidR="00FF4B01">
        <w:rPr>
          <w:rFonts w:cs="Tahoma"/>
          <w:szCs w:val="23"/>
        </w:rPr>
        <w:t>3</w:t>
      </w:r>
      <w:r w:rsidRPr="00F246B6">
        <w:rPr>
          <w:rFonts w:cs="Tahoma"/>
          <w:szCs w:val="23"/>
        </w:rPr>
        <w:t xml:space="preserve"> et suivants du Code du travail, relatifs à l'égalité professionnelle entre les femmes et les hommes.</w:t>
      </w:r>
    </w:p>
    <w:p w14:paraId="32A72D58" w14:textId="2E20E2D1" w:rsidR="007E7530" w:rsidRPr="00F246B6" w:rsidRDefault="00626A0C" w:rsidP="007E7530">
      <w:pPr>
        <w:rPr>
          <w:rFonts w:cs="Tahoma"/>
          <w:szCs w:val="23"/>
        </w:rPr>
      </w:pPr>
      <w:r>
        <w:rPr>
          <w:rFonts w:cs="Tahoma"/>
          <w:szCs w:val="23"/>
        </w:rPr>
        <w:t>La direction réaffirme son engagement</w:t>
      </w:r>
      <w:r w:rsidR="005A62F0" w:rsidRPr="00F246B6">
        <w:rPr>
          <w:rFonts w:cs="Tahoma"/>
          <w:szCs w:val="23"/>
        </w:rPr>
        <w:t xml:space="preserve"> en faveur de l’égalité professionnelle et de la réduction des écarts constatés entre les femmes et les hommes au sein de l’entreprise.</w:t>
      </w:r>
    </w:p>
    <w:p w14:paraId="7BC7EEAC" w14:textId="3B5E5422" w:rsidR="00C73785" w:rsidRPr="00C73785" w:rsidRDefault="00C73785" w:rsidP="00C73785">
      <w:pPr>
        <w:rPr>
          <w:rFonts w:cs="Tahoma"/>
          <w:szCs w:val="23"/>
        </w:rPr>
      </w:pPr>
      <w:r w:rsidRPr="00C73785">
        <w:rPr>
          <w:rFonts w:cs="Tahoma"/>
          <w:szCs w:val="23"/>
        </w:rPr>
        <w:t xml:space="preserve">Le présent </w:t>
      </w:r>
      <w:r w:rsidR="00626A0C">
        <w:rPr>
          <w:rFonts w:cs="Tahoma"/>
          <w:szCs w:val="23"/>
        </w:rPr>
        <w:t>plan d’action</w:t>
      </w:r>
      <w:r w:rsidRPr="00C73785">
        <w:rPr>
          <w:rFonts w:cs="Tahoma"/>
          <w:szCs w:val="23"/>
        </w:rPr>
        <w:t xml:space="preserve"> s’appuie sur :</w:t>
      </w:r>
    </w:p>
    <w:p w14:paraId="401C4813" w14:textId="77777777" w:rsidR="00C73785" w:rsidRPr="00C73785" w:rsidRDefault="00C73785" w:rsidP="00C73785">
      <w:pPr>
        <w:numPr>
          <w:ilvl w:val="0"/>
          <w:numId w:val="10"/>
        </w:numPr>
        <w:rPr>
          <w:rFonts w:cs="Tahoma"/>
          <w:szCs w:val="23"/>
        </w:rPr>
      </w:pPr>
      <w:proofErr w:type="gramStart"/>
      <w:r w:rsidRPr="00C73785">
        <w:rPr>
          <w:rFonts w:cs="Tahoma"/>
          <w:szCs w:val="23"/>
        </w:rPr>
        <w:t>les</w:t>
      </w:r>
      <w:proofErr w:type="gramEnd"/>
      <w:r w:rsidRPr="00C73785">
        <w:rPr>
          <w:rFonts w:cs="Tahoma"/>
          <w:szCs w:val="23"/>
        </w:rPr>
        <w:t xml:space="preserve"> données issues de la BDESE, </w:t>
      </w:r>
    </w:p>
    <w:p w14:paraId="1805EA08" w14:textId="113EEBC1" w:rsidR="00C73785" w:rsidRPr="00C73785" w:rsidRDefault="00C73785" w:rsidP="00C73785">
      <w:pPr>
        <w:numPr>
          <w:ilvl w:val="0"/>
          <w:numId w:val="10"/>
        </w:numPr>
        <w:rPr>
          <w:rFonts w:cs="Tahoma"/>
          <w:szCs w:val="23"/>
        </w:rPr>
      </w:pPr>
      <w:proofErr w:type="gramStart"/>
      <w:r w:rsidRPr="00C73785">
        <w:rPr>
          <w:rFonts w:cs="Tahoma"/>
          <w:szCs w:val="23"/>
        </w:rPr>
        <w:t>les</w:t>
      </w:r>
      <w:proofErr w:type="gramEnd"/>
      <w:r w:rsidRPr="00C73785">
        <w:rPr>
          <w:rFonts w:cs="Tahoma"/>
          <w:szCs w:val="23"/>
        </w:rPr>
        <w:t xml:space="preserve"> résultats de l’</w:t>
      </w:r>
      <w:r w:rsidR="00962E97">
        <w:rPr>
          <w:rFonts w:cs="Tahoma"/>
          <w:szCs w:val="23"/>
        </w:rPr>
        <w:t>i</w:t>
      </w:r>
      <w:r w:rsidRPr="00C73785">
        <w:rPr>
          <w:rFonts w:cs="Tahoma"/>
          <w:szCs w:val="23"/>
        </w:rPr>
        <w:t xml:space="preserve">ndex de l’égalité professionnelle, </w:t>
      </w:r>
    </w:p>
    <w:p w14:paraId="35EFE250" w14:textId="77777777" w:rsidR="00C73785" w:rsidRDefault="00C73785" w:rsidP="00C73785">
      <w:pPr>
        <w:numPr>
          <w:ilvl w:val="0"/>
          <w:numId w:val="10"/>
        </w:numPr>
        <w:rPr>
          <w:rFonts w:cs="Tahoma"/>
          <w:szCs w:val="23"/>
        </w:rPr>
      </w:pPr>
      <w:proofErr w:type="gramStart"/>
      <w:r w:rsidRPr="00C73785">
        <w:rPr>
          <w:rFonts w:cs="Tahoma"/>
          <w:szCs w:val="23"/>
        </w:rPr>
        <w:t>ainsi</w:t>
      </w:r>
      <w:proofErr w:type="gramEnd"/>
      <w:r w:rsidRPr="00C73785">
        <w:rPr>
          <w:rFonts w:cs="Tahoma"/>
          <w:szCs w:val="23"/>
        </w:rPr>
        <w:t xml:space="preserve"> que, le cas échéant, les engagements pris au niveau de la branche. </w:t>
      </w:r>
    </w:p>
    <w:p w14:paraId="4BCAF22B" w14:textId="7BF51F2D" w:rsidR="0059428F" w:rsidRPr="00C73785" w:rsidRDefault="0096210F" w:rsidP="0059428F">
      <w:pPr>
        <w:rPr>
          <w:rFonts w:cs="Tahoma"/>
          <w:szCs w:val="23"/>
        </w:rPr>
      </w:pPr>
      <w:r w:rsidRPr="0096210F">
        <w:rPr>
          <w:rFonts w:cs="Tahoma"/>
          <w:szCs w:val="23"/>
        </w:rPr>
        <w:t>Lorsque les résultats de l’</w:t>
      </w:r>
      <w:r w:rsidR="00962E97">
        <w:rPr>
          <w:rFonts w:cs="Tahoma"/>
          <w:szCs w:val="23"/>
        </w:rPr>
        <w:t>i</w:t>
      </w:r>
      <w:r w:rsidRPr="0096210F">
        <w:rPr>
          <w:rFonts w:cs="Tahoma"/>
          <w:szCs w:val="23"/>
        </w:rPr>
        <w:t>ndex révèlent des écarts significatifs, des mesures de correction sont intégrées au présent plan d’action.</w:t>
      </w:r>
    </w:p>
    <w:p w14:paraId="3577F415" w14:textId="02B61443" w:rsidR="00F246B6" w:rsidRDefault="00C73785" w:rsidP="00C73785">
      <w:pPr>
        <w:rPr>
          <w:rFonts w:cs="Tahoma"/>
          <w:szCs w:val="23"/>
        </w:rPr>
      </w:pPr>
      <w:r w:rsidRPr="00C73785">
        <w:rPr>
          <w:rFonts w:cs="Tahoma"/>
          <w:szCs w:val="23"/>
        </w:rPr>
        <w:t>Il a pour objet de définir des mesures concrètes visant à assurer l’égalité professionnelle, assorties d’objectifs de progression et d’indicateurs permettant d’en suivre la mise en œuvre.</w:t>
      </w:r>
    </w:p>
    <w:p w14:paraId="198C4A57" w14:textId="77777777" w:rsidR="00D947A9" w:rsidRDefault="00D947A9" w:rsidP="00C73785">
      <w:pPr>
        <w:rPr>
          <w:rFonts w:cs="Tahoma"/>
          <w:szCs w:val="23"/>
        </w:rPr>
      </w:pPr>
    </w:p>
    <w:p w14:paraId="404D3DFA" w14:textId="0005BBC0" w:rsidR="00D947A9" w:rsidRDefault="00D947A9" w:rsidP="00D947A9">
      <w:pPr>
        <w:pStyle w:val="Sous-titre"/>
      </w:pPr>
      <w:r>
        <w:t>Article 2 – Champ d’application</w:t>
      </w:r>
    </w:p>
    <w:p w14:paraId="5980DAAF" w14:textId="6EE643CC" w:rsidR="005823D4" w:rsidRDefault="005823D4" w:rsidP="00C73785">
      <w:r w:rsidRPr="005823D4">
        <w:t xml:space="preserve">Le présent </w:t>
      </w:r>
      <w:r w:rsidR="000E6459">
        <w:t xml:space="preserve">plan d’action </w:t>
      </w:r>
      <w:r w:rsidRPr="005823D4">
        <w:t xml:space="preserve">s’applique à l’ensemble des </w:t>
      </w:r>
      <w:proofErr w:type="spellStart"/>
      <w:r w:rsidRPr="005823D4">
        <w:t>salarié·e·s</w:t>
      </w:r>
      <w:proofErr w:type="spellEnd"/>
      <w:r w:rsidRPr="005823D4">
        <w:t xml:space="preserve"> de l’entreprise, quels que soient leur statut, leur catégorie professionnelle ou leur lieu de travail.</w:t>
      </w:r>
      <w:r>
        <w:t xml:space="preserve"> </w:t>
      </w:r>
      <w:r w:rsidRPr="005823D4">
        <w:t>Il s’applique à l’ensemble des établissements de l’entreprise.</w:t>
      </w:r>
    </w:p>
    <w:p w14:paraId="20E5A03C" w14:textId="77777777" w:rsidR="00FF4B01" w:rsidRDefault="00FF4B01" w:rsidP="00FF4B01">
      <w:pPr>
        <w:jc w:val="left"/>
      </w:pPr>
    </w:p>
    <w:p w14:paraId="161089C3" w14:textId="52D06CAA" w:rsidR="007E7530" w:rsidRDefault="00F246B6" w:rsidP="00FF4B01">
      <w:pPr>
        <w:pStyle w:val="Sous-titre"/>
      </w:pPr>
      <w:r>
        <w:t xml:space="preserve">Article </w:t>
      </w:r>
      <w:r w:rsidR="00D947A9">
        <w:t>3</w:t>
      </w:r>
      <w:r>
        <w:t xml:space="preserve"> – Diagnostic et constats </w:t>
      </w:r>
    </w:p>
    <w:p w14:paraId="3B352C77" w14:textId="77777777" w:rsidR="002D7AC1" w:rsidRDefault="002D7AC1" w:rsidP="00DC023C">
      <w:pPr>
        <w:rPr>
          <w:b/>
          <w:bCs/>
          <w:i/>
          <w:iCs/>
          <w:color w:val="22B7C9"/>
          <w:szCs w:val="24"/>
        </w:rPr>
      </w:pPr>
      <w:r w:rsidRPr="002D7AC1">
        <w:rPr>
          <w:b/>
          <w:bCs/>
          <w:i/>
          <w:iCs/>
          <w:color w:val="22B7C9"/>
          <w:szCs w:val="24"/>
        </w:rPr>
        <w:t>Il convient de présenter un bilan des objectifs et mesures prises au cours de l’année écoulée au sein du précédent plan d’action ou accord égalité professionnelle. À défaut, le plan d’action pourrait être déclaré non conforme.</w:t>
      </w:r>
    </w:p>
    <w:p w14:paraId="2D30ADEA" w14:textId="37E3DA29" w:rsidR="00682B7A" w:rsidRPr="00682B7A" w:rsidRDefault="00CE3D5B" w:rsidP="00DC023C">
      <w:r>
        <w:t>La direction a établi</w:t>
      </w:r>
      <w:r w:rsidR="00682B7A" w:rsidRPr="00682B7A">
        <w:t xml:space="preserve"> un diagnostic de la situation comparée des femmes et des hommes au sein de l’entreprise.</w:t>
      </w:r>
    </w:p>
    <w:p w14:paraId="3F8CB9BB" w14:textId="3BB89D11" w:rsidR="00682B7A" w:rsidRPr="00682B7A" w:rsidRDefault="00682B7A" w:rsidP="00682B7A">
      <w:r w:rsidRPr="00682B7A">
        <w:t>Ce diagnostic met notamment en évidence</w:t>
      </w:r>
      <w:r w:rsidR="0019651E">
        <w:t xml:space="preserve"> (</w:t>
      </w:r>
      <w:r w:rsidR="0019651E" w:rsidRPr="0019651E">
        <w:rPr>
          <w:i/>
          <w:iCs/>
          <w:color w:val="22B7C9"/>
        </w:rPr>
        <w:t>à compléter</w:t>
      </w:r>
      <w:r w:rsidR="0019651E">
        <w:t>)</w:t>
      </w:r>
      <w:r w:rsidRPr="00682B7A">
        <w:t xml:space="preserve"> :</w:t>
      </w:r>
    </w:p>
    <w:p w14:paraId="14BE1EF7"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écarts de rémunération, </w:t>
      </w:r>
    </w:p>
    <w:p w14:paraId="5CB6B003" w14:textId="77777777" w:rsidR="00682B7A" w:rsidRPr="00682B7A" w:rsidRDefault="00682B7A" w:rsidP="00682B7A">
      <w:pPr>
        <w:pStyle w:val="Paragraphedeliste"/>
        <w:numPr>
          <w:ilvl w:val="0"/>
          <w:numId w:val="12"/>
        </w:numPr>
      </w:pPr>
      <w:proofErr w:type="gramStart"/>
      <w:r w:rsidRPr="00682B7A">
        <w:t>la</w:t>
      </w:r>
      <w:proofErr w:type="gramEnd"/>
      <w:r w:rsidRPr="00682B7A">
        <w:t xml:space="preserve"> répartition femmes/hommes par catégorie professionnelle, </w:t>
      </w:r>
    </w:p>
    <w:p w14:paraId="678B4B76" w14:textId="77777777" w:rsidR="00682B7A" w:rsidRPr="00682B7A" w:rsidRDefault="00682B7A" w:rsidP="00682B7A">
      <w:pPr>
        <w:pStyle w:val="Paragraphedeliste"/>
        <w:numPr>
          <w:ilvl w:val="0"/>
          <w:numId w:val="12"/>
        </w:numPr>
      </w:pPr>
      <w:proofErr w:type="gramStart"/>
      <w:r w:rsidRPr="00682B7A">
        <w:t>l’accès</w:t>
      </w:r>
      <w:proofErr w:type="gramEnd"/>
      <w:r w:rsidRPr="00682B7A">
        <w:t xml:space="preserve"> à la formation, </w:t>
      </w:r>
    </w:p>
    <w:p w14:paraId="65DAEF0B"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promotions et évolutions de carrière, </w:t>
      </w:r>
    </w:p>
    <w:p w14:paraId="1B115888" w14:textId="77777777" w:rsidR="00682B7A" w:rsidRPr="00682B7A" w:rsidRDefault="00682B7A" w:rsidP="00682B7A">
      <w:pPr>
        <w:pStyle w:val="Paragraphedeliste"/>
        <w:numPr>
          <w:ilvl w:val="0"/>
          <w:numId w:val="12"/>
        </w:numPr>
      </w:pPr>
      <w:proofErr w:type="gramStart"/>
      <w:r w:rsidRPr="00682B7A">
        <w:t>les</w:t>
      </w:r>
      <w:proofErr w:type="gramEnd"/>
      <w:r w:rsidRPr="00682B7A">
        <w:t xml:space="preserve"> conditions de travail et d’emploi, </w:t>
      </w:r>
    </w:p>
    <w:p w14:paraId="037E2397" w14:textId="77777777" w:rsidR="00682B7A" w:rsidRPr="00682B7A" w:rsidRDefault="00682B7A" w:rsidP="00682B7A">
      <w:pPr>
        <w:pStyle w:val="Paragraphedeliste"/>
        <w:numPr>
          <w:ilvl w:val="0"/>
          <w:numId w:val="12"/>
        </w:numPr>
      </w:pPr>
      <w:proofErr w:type="gramStart"/>
      <w:r w:rsidRPr="00682B7A">
        <w:t>le</w:t>
      </w:r>
      <w:proofErr w:type="gramEnd"/>
      <w:r w:rsidRPr="00682B7A">
        <w:t xml:space="preserve"> recours au temps partiel. </w:t>
      </w:r>
    </w:p>
    <w:p w14:paraId="19280497" w14:textId="4B78945E" w:rsidR="00682B7A" w:rsidRPr="00A122B8" w:rsidRDefault="006B1944" w:rsidP="00682B7A">
      <w:pPr>
        <w:rPr>
          <w:b/>
          <w:color w:val="22B7C9"/>
        </w:rPr>
      </w:pPr>
      <w:r>
        <w:rPr>
          <w:b/>
          <w:color w:val="22B7C9"/>
        </w:rPr>
        <w:t>(</w:t>
      </w:r>
      <w:r w:rsidR="00682B7A" w:rsidRPr="00A122B8">
        <w:rPr>
          <w:b/>
          <w:color w:val="22B7C9"/>
        </w:rPr>
        <w:t>À compléter par l’entreprise : synthèse des constats</w:t>
      </w:r>
      <w:r w:rsidR="00DB4462">
        <w:rPr>
          <w:b/>
          <w:color w:val="22B7C9"/>
        </w:rPr>
        <w:t>, intégrant les n</w:t>
      </w:r>
      <w:r w:rsidR="00890D1C">
        <w:rPr>
          <w:b/>
          <w:color w:val="22B7C9"/>
        </w:rPr>
        <w:t>otes obtenues à l’</w:t>
      </w:r>
      <w:r w:rsidR="00962E97">
        <w:rPr>
          <w:b/>
          <w:color w:val="22B7C9"/>
        </w:rPr>
        <w:t>i</w:t>
      </w:r>
      <w:r w:rsidR="00890D1C">
        <w:rPr>
          <w:b/>
          <w:color w:val="22B7C9"/>
        </w:rPr>
        <w:t>ndex</w:t>
      </w:r>
      <w:r>
        <w:rPr>
          <w:b/>
          <w:color w:val="22B7C9"/>
        </w:rPr>
        <w:t>).</w:t>
      </w:r>
    </w:p>
    <w:p w14:paraId="1AA437D1" w14:textId="7105AADB" w:rsidR="00890D1C" w:rsidRDefault="007B1BB2" w:rsidP="007E7530">
      <w:r>
        <w:lastRenderedPageBreak/>
        <w:t>C</w:t>
      </w:r>
      <w:r w:rsidR="00682B7A" w:rsidRPr="00682B7A">
        <w:t xml:space="preserve">es </w:t>
      </w:r>
      <w:r>
        <w:t>constats</w:t>
      </w:r>
      <w:r w:rsidR="00962E97">
        <w:t>, combinés aux remontées de terrain,</w:t>
      </w:r>
      <w:r w:rsidR="00682B7A" w:rsidRPr="00682B7A">
        <w:t xml:space="preserve"> constituent le fondement des actions définies dans le présent </w:t>
      </w:r>
      <w:r>
        <w:t>plan d’action</w:t>
      </w:r>
      <w:r w:rsidR="00682B7A" w:rsidRPr="00682B7A">
        <w:t>.</w:t>
      </w:r>
    </w:p>
    <w:p w14:paraId="06B2F515" w14:textId="77777777" w:rsidR="00962E97" w:rsidRPr="00890D1C" w:rsidRDefault="00962E97" w:rsidP="007E7530"/>
    <w:p w14:paraId="28C22671" w14:textId="78775434" w:rsidR="007E7530" w:rsidRPr="00F246B6" w:rsidRDefault="00E21CB2" w:rsidP="00E21CB2">
      <w:pPr>
        <w:pStyle w:val="Sous-titre"/>
      </w:pPr>
      <w:r>
        <w:t xml:space="preserve">Article </w:t>
      </w:r>
      <w:r w:rsidR="00314DC5">
        <w:t>4</w:t>
      </w:r>
      <w:r>
        <w:t xml:space="preserve"> – Domaines d’actions retenus </w:t>
      </w:r>
    </w:p>
    <w:p w14:paraId="78AE52B4" w14:textId="25E6E8E6" w:rsidR="00002EE0" w:rsidRDefault="00002EE0" w:rsidP="009A1847">
      <w:r w:rsidRPr="00002EE0">
        <w:t xml:space="preserve">Au regard du diagnostic préalable réalisé, </w:t>
      </w:r>
      <w:r w:rsidR="007B1BB2">
        <w:t>la direction</w:t>
      </w:r>
      <w:r w:rsidRPr="00002EE0">
        <w:t xml:space="preserve"> identifie les domaines d’action prioritaires du présent </w:t>
      </w:r>
      <w:r w:rsidR="007B1BB2">
        <w:t>plan d’action</w:t>
      </w:r>
      <w:r w:rsidR="00962E97">
        <w:t xml:space="preserve"> (</w:t>
      </w:r>
      <w:r w:rsidR="009466DB">
        <w:rPr>
          <w:i/>
          <w:iCs/>
          <w:color w:val="22B7C9"/>
        </w:rPr>
        <w:t>l</w:t>
      </w:r>
      <w:r w:rsidR="00962E97" w:rsidRPr="00962E97">
        <w:rPr>
          <w:i/>
          <w:iCs/>
          <w:color w:val="22B7C9"/>
        </w:rPr>
        <w:t>e choix des domaines d’action peut être effectué en concertation avec le CSE</w:t>
      </w:r>
      <w:r w:rsidR="00962E97">
        <w:t>).</w:t>
      </w:r>
    </w:p>
    <w:p w14:paraId="46729766" w14:textId="3B6A50E6" w:rsidR="00C434CC" w:rsidRPr="00C434CC" w:rsidRDefault="00C434CC" w:rsidP="009A1847">
      <w:r w:rsidRPr="00C434CC">
        <w:rPr>
          <w:b/>
          <w:bCs/>
        </w:rPr>
        <w:t>Dans le cadre des orientations définies au niveau de la branche</w:t>
      </w:r>
      <w:r w:rsidRPr="00C434CC">
        <w:t xml:space="preserve">, une attention particulière est portée aux domaines suivants </w:t>
      </w:r>
      <w:r w:rsidRPr="00C434CC">
        <w:rPr>
          <w:b/>
          <w:bCs/>
        </w:rPr>
        <w:t>:</w:t>
      </w:r>
      <w:r w:rsidR="009A1847" w:rsidRPr="009A1847">
        <w:rPr>
          <w:b/>
          <w:bCs/>
        </w:rPr>
        <w:t xml:space="preserve"> </w:t>
      </w:r>
      <w:r w:rsidRPr="00C434CC">
        <w:rPr>
          <w:b/>
          <w:bCs/>
        </w:rPr>
        <w:t>articulation entre l’activité professionnelle et la vie personnelle et familiale</w:t>
      </w:r>
      <w:r w:rsidR="009A1847" w:rsidRPr="009A1847">
        <w:rPr>
          <w:b/>
          <w:bCs/>
        </w:rPr>
        <w:t xml:space="preserve">, </w:t>
      </w:r>
      <w:r w:rsidRPr="00C434CC">
        <w:rPr>
          <w:b/>
          <w:bCs/>
        </w:rPr>
        <w:t>sécurité et santé au travail</w:t>
      </w:r>
      <w:r w:rsidR="009A1847" w:rsidRPr="009A1847">
        <w:rPr>
          <w:b/>
          <w:bCs/>
        </w:rPr>
        <w:t>,</w:t>
      </w:r>
      <w:r w:rsidRPr="00C434CC">
        <w:rPr>
          <w:b/>
          <w:bCs/>
        </w:rPr>
        <w:t xml:space="preserve"> embauche et parcours professionnels </w:t>
      </w:r>
      <w:r w:rsidR="009A1847" w:rsidRPr="009A1847">
        <w:rPr>
          <w:b/>
          <w:bCs/>
        </w:rPr>
        <w:t xml:space="preserve">et </w:t>
      </w:r>
      <w:r w:rsidRPr="00C434CC">
        <w:rPr>
          <w:b/>
          <w:bCs/>
        </w:rPr>
        <w:t>rémunération effective</w:t>
      </w:r>
      <w:r w:rsidR="009A1847">
        <w:t xml:space="preserve">. </w:t>
      </w:r>
    </w:p>
    <w:p w14:paraId="4FDF38D7" w14:textId="77777777" w:rsidR="00947FB7" w:rsidRPr="00947FB7" w:rsidRDefault="00947FB7" w:rsidP="00947FB7">
      <w:r w:rsidRPr="00947FB7">
        <w:t>Conformément à l’article R.2242-2 du Code du travail, les domaines d’action ouverts à la négociation en matière d’égalité professionnelle entre les femmes et les hommes sont les suivants :</w:t>
      </w:r>
    </w:p>
    <w:p w14:paraId="41947017" w14:textId="77777777" w:rsidR="00947FB7" w:rsidRPr="00947FB7" w:rsidRDefault="00947FB7" w:rsidP="00947FB7">
      <w:pPr>
        <w:numPr>
          <w:ilvl w:val="0"/>
          <w:numId w:val="20"/>
        </w:numPr>
      </w:pPr>
      <w:proofErr w:type="gramStart"/>
      <w:r w:rsidRPr="00947FB7">
        <w:t>embauche</w:t>
      </w:r>
      <w:proofErr w:type="gramEnd"/>
      <w:r w:rsidRPr="00947FB7">
        <w:t xml:space="preserve"> ; </w:t>
      </w:r>
    </w:p>
    <w:p w14:paraId="769CEFFA" w14:textId="77777777" w:rsidR="00947FB7" w:rsidRPr="00947FB7" w:rsidRDefault="00947FB7" w:rsidP="00947FB7">
      <w:pPr>
        <w:numPr>
          <w:ilvl w:val="0"/>
          <w:numId w:val="20"/>
        </w:numPr>
      </w:pPr>
      <w:proofErr w:type="gramStart"/>
      <w:r w:rsidRPr="00947FB7">
        <w:t>formation</w:t>
      </w:r>
      <w:proofErr w:type="gramEnd"/>
      <w:r w:rsidRPr="00947FB7">
        <w:t xml:space="preserve"> ; </w:t>
      </w:r>
    </w:p>
    <w:p w14:paraId="7DAF50EA" w14:textId="77777777" w:rsidR="00947FB7" w:rsidRPr="00947FB7" w:rsidRDefault="00947FB7" w:rsidP="00947FB7">
      <w:pPr>
        <w:numPr>
          <w:ilvl w:val="0"/>
          <w:numId w:val="20"/>
        </w:numPr>
      </w:pPr>
      <w:proofErr w:type="gramStart"/>
      <w:r w:rsidRPr="00947FB7">
        <w:t>promotion</w:t>
      </w:r>
      <w:proofErr w:type="gramEnd"/>
      <w:r w:rsidRPr="00947FB7">
        <w:t xml:space="preserve"> professionnelle ; </w:t>
      </w:r>
    </w:p>
    <w:p w14:paraId="49C00E07" w14:textId="77777777" w:rsidR="00947FB7" w:rsidRPr="00947FB7" w:rsidRDefault="00947FB7" w:rsidP="00947FB7">
      <w:pPr>
        <w:numPr>
          <w:ilvl w:val="0"/>
          <w:numId w:val="20"/>
        </w:numPr>
      </w:pPr>
      <w:proofErr w:type="gramStart"/>
      <w:r w:rsidRPr="00947FB7">
        <w:t>qualification</w:t>
      </w:r>
      <w:proofErr w:type="gramEnd"/>
      <w:r w:rsidRPr="00947FB7">
        <w:t xml:space="preserve"> ; </w:t>
      </w:r>
    </w:p>
    <w:p w14:paraId="67E70778" w14:textId="77777777" w:rsidR="00947FB7" w:rsidRPr="00947FB7" w:rsidRDefault="00947FB7" w:rsidP="00947FB7">
      <w:pPr>
        <w:numPr>
          <w:ilvl w:val="0"/>
          <w:numId w:val="20"/>
        </w:numPr>
      </w:pPr>
      <w:proofErr w:type="gramStart"/>
      <w:r w:rsidRPr="00947FB7">
        <w:t>classification</w:t>
      </w:r>
      <w:proofErr w:type="gramEnd"/>
      <w:r w:rsidRPr="00947FB7">
        <w:t xml:space="preserve"> ; </w:t>
      </w:r>
    </w:p>
    <w:p w14:paraId="25167A23" w14:textId="77777777" w:rsidR="00947FB7" w:rsidRPr="00947FB7" w:rsidRDefault="00947FB7" w:rsidP="00947FB7">
      <w:pPr>
        <w:numPr>
          <w:ilvl w:val="0"/>
          <w:numId w:val="20"/>
        </w:numPr>
      </w:pPr>
      <w:proofErr w:type="gramStart"/>
      <w:r w:rsidRPr="00947FB7">
        <w:t>conditions</w:t>
      </w:r>
      <w:proofErr w:type="gramEnd"/>
      <w:r w:rsidRPr="00947FB7">
        <w:t xml:space="preserve"> de travail ; </w:t>
      </w:r>
    </w:p>
    <w:p w14:paraId="6A5847A3" w14:textId="77777777" w:rsidR="00947FB7" w:rsidRPr="00947FB7" w:rsidRDefault="00947FB7" w:rsidP="00947FB7">
      <w:pPr>
        <w:numPr>
          <w:ilvl w:val="0"/>
          <w:numId w:val="20"/>
        </w:numPr>
      </w:pPr>
      <w:proofErr w:type="gramStart"/>
      <w:r w:rsidRPr="00947FB7">
        <w:t>sécurité</w:t>
      </w:r>
      <w:proofErr w:type="gramEnd"/>
      <w:r w:rsidRPr="00947FB7">
        <w:t xml:space="preserve"> et santé au travail ; </w:t>
      </w:r>
    </w:p>
    <w:p w14:paraId="57C11786" w14:textId="77777777" w:rsidR="00947FB7" w:rsidRPr="00947FB7" w:rsidRDefault="00947FB7" w:rsidP="00947FB7">
      <w:pPr>
        <w:numPr>
          <w:ilvl w:val="0"/>
          <w:numId w:val="20"/>
        </w:numPr>
      </w:pPr>
      <w:proofErr w:type="gramStart"/>
      <w:r w:rsidRPr="00947FB7">
        <w:t>rémunération</w:t>
      </w:r>
      <w:proofErr w:type="gramEnd"/>
      <w:r w:rsidRPr="00947FB7">
        <w:t xml:space="preserve"> effective (</w:t>
      </w:r>
      <w:r w:rsidRPr="00947FB7">
        <w:rPr>
          <w:i/>
          <w:iCs/>
        </w:rPr>
        <w:t>domaine obligatoire</w:t>
      </w:r>
      <w:r w:rsidRPr="00947FB7">
        <w:t xml:space="preserve">) ; </w:t>
      </w:r>
    </w:p>
    <w:p w14:paraId="64D753AF" w14:textId="2AF75E5D" w:rsidR="002C2CEF" w:rsidRDefault="00947FB7" w:rsidP="005C07B5">
      <w:pPr>
        <w:numPr>
          <w:ilvl w:val="0"/>
          <w:numId w:val="20"/>
        </w:numPr>
      </w:pPr>
      <w:proofErr w:type="gramStart"/>
      <w:r w:rsidRPr="00947FB7">
        <w:t>articulation</w:t>
      </w:r>
      <w:proofErr w:type="gramEnd"/>
      <w:r w:rsidRPr="00947FB7">
        <w:t xml:space="preserve"> entre l’activité professionnelle et la vie personnelle et familiale.</w:t>
      </w:r>
    </w:p>
    <w:p w14:paraId="5191171B" w14:textId="59E507D8" w:rsidR="00EE1898" w:rsidRPr="00EE1898" w:rsidRDefault="00EE1898" w:rsidP="005C07B5">
      <w:r w:rsidRPr="00EE1898">
        <w:t xml:space="preserve">Parmi ces neuf domaines, </w:t>
      </w:r>
      <w:r w:rsidR="005C07B5">
        <w:t>la direction retient</w:t>
      </w:r>
      <w:r w:rsidRPr="00EE1898">
        <w:t>, dans le cadre du présent</w:t>
      </w:r>
      <w:r w:rsidR="005C07B5">
        <w:t xml:space="preserve"> plan d’action</w:t>
      </w:r>
      <w:r w:rsidRPr="00EE1898">
        <w:t xml:space="preserve"> et en</w:t>
      </w:r>
      <w:r w:rsidR="005C07B5">
        <w:t xml:space="preserve"> </w:t>
      </w:r>
      <w:r w:rsidRPr="00EE1898">
        <w:t>cohérence avec les priorités de branche, les domaines suivants :</w:t>
      </w:r>
    </w:p>
    <w:p w14:paraId="46304212" w14:textId="77777777" w:rsidR="00EE1898" w:rsidRPr="00EE1898" w:rsidRDefault="00EE1898" w:rsidP="00EE1898">
      <w:pPr>
        <w:numPr>
          <w:ilvl w:val="0"/>
          <w:numId w:val="21"/>
        </w:numPr>
      </w:pPr>
      <w:proofErr w:type="gramStart"/>
      <w:r w:rsidRPr="00EE1898">
        <w:t>rémunération</w:t>
      </w:r>
      <w:proofErr w:type="gramEnd"/>
      <w:r w:rsidRPr="00EE1898">
        <w:t xml:space="preserve"> effective ; </w:t>
      </w:r>
    </w:p>
    <w:p w14:paraId="44638F85" w14:textId="77777777" w:rsidR="00EE1898" w:rsidRPr="00EE1898" w:rsidRDefault="00EE1898" w:rsidP="00EE1898">
      <w:pPr>
        <w:numPr>
          <w:ilvl w:val="0"/>
          <w:numId w:val="21"/>
        </w:numPr>
      </w:pPr>
      <w:r w:rsidRPr="00EE1898">
        <w:t xml:space="preserve">… ; </w:t>
      </w:r>
    </w:p>
    <w:p w14:paraId="3A85B922" w14:textId="77777777" w:rsidR="00EE1898" w:rsidRPr="00EE1898" w:rsidRDefault="00EE1898" w:rsidP="00EE1898">
      <w:pPr>
        <w:numPr>
          <w:ilvl w:val="0"/>
          <w:numId w:val="21"/>
        </w:numPr>
      </w:pPr>
      <w:r w:rsidRPr="00EE1898">
        <w:t xml:space="preserve">… ; </w:t>
      </w:r>
    </w:p>
    <w:p w14:paraId="371C22B2" w14:textId="77777777" w:rsidR="00EE1898" w:rsidRPr="00EE1898" w:rsidRDefault="00EE1898" w:rsidP="00EE1898">
      <w:pPr>
        <w:numPr>
          <w:ilvl w:val="0"/>
          <w:numId w:val="21"/>
        </w:numPr>
      </w:pPr>
      <w:r w:rsidRPr="00EE1898">
        <w:t xml:space="preserve">… . </w:t>
      </w:r>
    </w:p>
    <w:p w14:paraId="4D6BDC3B" w14:textId="59296333" w:rsidR="00EE1898" w:rsidRPr="00EE1898" w:rsidRDefault="00EE1898" w:rsidP="00EE1898">
      <w:r w:rsidRPr="00EE1898">
        <w:t xml:space="preserve">La réalisation des objectifs fixés dans ces domaines repose sur la mise en œuvre d’actions concrètes et chiffrées, dont la nature, l’étendue, le calendrier de mise en œuvre et, le cas échéant, les moyens associés, sont définis dans le présent </w:t>
      </w:r>
      <w:r w:rsidR="00FB3ED2">
        <w:t>plan d’action</w:t>
      </w:r>
      <w:r w:rsidRPr="00EE1898">
        <w:t>.</w:t>
      </w:r>
    </w:p>
    <w:p w14:paraId="69C5098C" w14:textId="0BB00972" w:rsidR="007E7530" w:rsidRPr="00F07B11" w:rsidRDefault="00F07B11" w:rsidP="00FB3ED2">
      <w:pPr>
        <w:jc w:val="left"/>
        <w:rPr>
          <w:rFonts w:cs="Tahoma"/>
          <w:bCs/>
          <w:szCs w:val="23"/>
        </w:rPr>
      </w:pPr>
      <w:r w:rsidRPr="00F07B11">
        <w:rPr>
          <w:rFonts w:cs="Tahoma"/>
          <w:bCs/>
          <w:szCs w:val="23"/>
        </w:rPr>
        <w:t>Ces objectifs sont assortis d’indicateurs permettant d’en évaluer les résultats.</w:t>
      </w:r>
      <w:r w:rsidR="00FB3ED2" w:rsidRPr="00F07B11">
        <w:rPr>
          <w:rFonts w:cs="Tahoma"/>
          <w:bCs/>
          <w:szCs w:val="23"/>
        </w:rPr>
        <w:br w:type="page"/>
      </w:r>
    </w:p>
    <w:p w14:paraId="67E5EE6D" w14:textId="325B0002" w:rsidR="007E7530" w:rsidRPr="00C75670" w:rsidRDefault="009371E2" w:rsidP="00C75670">
      <w:pPr>
        <w:pStyle w:val="Sous-titre"/>
        <w:rPr>
          <w:i/>
        </w:rPr>
      </w:pPr>
      <w:r>
        <w:lastRenderedPageBreak/>
        <w:t xml:space="preserve">Article 5 </w:t>
      </w:r>
      <w:r w:rsidR="00C75670">
        <w:t>–</w:t>
      </w:r>
      <w:r>
        <w:t xml:space="preserve"> </w:t>
      </w:r>
      <w:r w:rsidR="00C75670">
        <w:t>Rémunération effective</w:t>
      </w:r>
      <w:r w:rsidR="00962E97">
        <w:t xml:space="preserve"> (</w:t>
      </w:r>
      <w:r w:rsidR="00962E97" w:rsidRPr="00962E97">
        <w:rPr>
          <w:i/>
          <w:iCs/>
        </w:rPr>
        <w:t>domaine obligatoire</w:t>
      </w:r>
      <w:r w:rsidR="00962E97">
        <w:t>)</w:t>
      </w:r>
    </w:p>
    <w:p w14:paraId="6FBC2058" w14:textId="31CEAA80" w:rsidR="0064138E" w:rsidRPr="0064138E" w:rsidRDefault="0064138E" w:rsidP="0064138E">
      <w:pPr>
        <w:rPr>
          <w:rFonts w:cs="Tahoma"/>
          <w:szCs w:val="23"/>
        </w:rPr>
      </w:pPr>
      <w:r w:rsidRPr="0064138E">
        <w:rPr>
          <w:rFonts w:cs="Tahoma"/>
          <w:b/>
          <w:bCs/>
          <w:szCs w:val="23"/>
        </w:rPr>
        <w:t>Constat</w:t>
      </w:r>
      <w:r w:rsidR="00962E97">
        <w:rPr>
          <w:rFonts w:cs="Tahoma"/>
          <w:b/>
          <w:bCs/>
          <w:szCs w:val="23"/>
        </w:rPr>
        <w:t>s</w:t>
      </w:r>
      <w:r w:rsidRPr="0064138E">
        <w:rPr>
          <w:rFonts w:cs="Tahoma"/>
          <w:b/>
          <w:bCs/>
          <w:szCs w:val="23"/>
        </w:rPr>
        <w:t xml:space="preserve"> :</w:t>
      </w:r>
    </w:p>
    <w:p w14:paraId="1F31B426" w14:textId="492027EE" w:rsidR="0064138E" w:rsidRPr="0064138E" w:rsidRDefault="0064138E" w:rsidP="0064138E">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50D8EA19" w14:textId="77777777" w:rsidR="0064138E" w:rsidRPr="0064138E" w:rsidRDefault="0064138E" w:rsidP="0064138E">
      <w:pPr>
        <w:rPr>
          <w:rFonts w:cs="Tahoma"/>
          <w:szCs w:val="23"/>
        </w:rPr>
      </w:pPr>
      <w:r w:rsidRPr="0064138E">
        <w:rPr>
          <w:rFonts w:cs="Tahoma"/>
          <w:b/>
          <w:bCs/>
          <w:szCs w:val="23"/>
        </w:rPr>
        <w:t>Actions :</w:t>
      </w:r>
    </w:p>
    <w:p w14:paraId="2C99A82F" w14:textId="77777777" w:rsidR="0064138E" w:rsidRPr="0064138E" w:rsidRDefault="0064138E" w:rsidP="0064138E">
      <w:pPr>
        <w:numPr>
          <w:ilvl w:val="0"/>
          <w:numId w:val="14"/>
        </w:numPr>
        <w:rPr>
          <w:rFonts w:cs="Tahoma"/>
          <w:szCs w:val="23"/>
        </w:rPr>
      </w:pPr>
      <w:r w:rsidRPr="0064138E">
        <w:rPr>
          <w:rFonts w:cs="Tahoma"/>
          <w:szCs w:val="23"/>
        </w:rPr>
        <w:t xml:space="preserve">… </w:t>
      </w:r>
    </w:p>
    <w:p w14:paraId="1DD5EA85" w14:textId="24F05C19" w:rsidR="0064138E" w:rsidRPr="0064138E" w:rsidRDefault="0064138E" w:rsidP="0064138E">
      <w:pPr>
        <w:numPr>
          <w:ilvl w:val="0"/>
          <w:numId w:val="14"/>
        </w:numPr>
        <w:rPr>
          <w:rFonts w:cs="Tahoma"/>
          <w:szCs w:val="23"/>
        </w:rPr>
      </w:pPr>
      <w:r w:rsidRPr="0064138E">
        <w:rPr>
          <w:rFonts w:cs="Tahoma"/>
          <w:szCs w:val="23"/>
        </w:rPr>
        <w:t>…</w:t>
      </w:r>
    </w:p>
    <w:p w14:paraId="3292A2D2" w14:textId="77777777" w:rsidR="0064138E" w:rsidRDefault="0064138E" w:rsidP="0064138E">
      <w:pPr>
        <w:rPr>
          <w:rFonts w:cs="Tahoma"/>
          <w:b/>
          <w:bCs/>
          <w:szCs w:val="23"/>
        </w:rPr>
      </w:pPr>
      <w:r w:rsidRPr="0064138E">
        <w:rPr>
          <w:rFonts w:cs="Tahoma"/>
          <w:b/>
          <w:bCs/>
          <w:szCs w:val="23"/>
        </w:rPr>
        <w:t>Indicateurs de suivi :</w:t>
      </w:r>
    </w:p>
    <w:p w14:paraId="5E788FC0" w14:textId="1B7BE929" w:rsidR="009D7E0C" w:rsidRDefault="00962E97" w:rsidP="009D7E0C">
      <w:pPr>
        <w:rPr>
          <w:rFonts w:cs="Tahoma"/>
          <w:b/>
          <w:bCs/>
          <w:szCs w:val="23"/>
        </w:rPr>
      </w:pPr>
      <w:r>
        <w:rPr>
          <w:rFonts w:cs="Tahoma"/>
          <w:b/>
          <w:bCs/>
          <w:szCs w:val="23"/>
        </w:rPr>
        <w:t>Budget et m</w:t>
      </w:r>
      <w:r w:rsidR="00315F6A">
        <w:rPr>
          <w:rFonts w:cs="Tahoma"/>
          <w:b/>
          <w:bCs/>
          <w:szCs w:val="23"/>
        </w:rPr>
        <w:t xml:space="preserve">oyens mobilisés </w:t>
      </w:r>
      <w:r w:rsidR="009D7E0C">
        <w:rPr>
          <w:rFonts w:cs="Tahoma"/>
          <w:b/>
          <w:bCs/>
          <w:szCs w:val="23"/>
        </w:rPr>
        <w:t>(humains, organisationnels et, le cas échéant, financiers) :</w:t>
      </w:r>
    </w:p>
    <w:p w14:paraId="77DBF7B6" w14:textId="429011A4" w:rsidR="00016718" w:rsidRDefault="0064138E" w:rsidP="007E7530">
      <w:pPr>
        <w:rPr>
          <w:rFonts w:cs="Tahoma"/>
          <w:szCs w:val="23"/>
        </w:rPr>
      </w:pPr>
      <w:r w:rsidRPr="0064138E">
        <w:rPr>
          <w:rFonts w:cs="Tahoma"/>
          <w:b/>
          <w:bCs/>
          <w:szCs w:val="23"/>
        </w:rPr>
        <w:t>Échéancier :</w:t>
      </w:r>
      <w:r w:rsidR="00B80A47">
        <w:rPr>
          <w:rFonts w:cs="Tahoma"/>
          <w:b/>
          <w:bCs/>
          <w:szCs w:val="23"/>
        </w:rPr>
        <w:t xml:space="preserve"> </w:t>
      </w:r>
    </w:p>
    <w:p w14:paraId="5576A211" w14:textId="77777777" w:rsidR="009D7E0C" w:rsidRPr="00F246B6" w:rsidRDefault="009D7E0C" w:rsidP="007E7530">
      <w:pPr>
        <w:rPr>
          <w:rFonts w:cs="Tahoma"/>
          <w:szCs w:val="23"/>
        </w:rPr>
      </w:pPr>
    </w:p>
    <w:p w14:paraId="1710CCCF" w14:textId="633ABA22" w:rsidR="007E7530" w:rsidRPr="00016718" w:rsidRDefault="00016718" w:rsidP="00016718">
      <w:pPr>
        <w:pStyle w:val="Sous-titre"/>
        <w:rPr>
          <w:i/>
        </w:rPr>
      </w:pPr>
      <w:r>
        <w:t xml:space="preserve">Article 6 – </w:t>
      </w:r>
      <w:r w:rsidRPr="00016718">
        <w:rPr>
          <w:highlight w:val="yellow"/>
        </w:rPr>
        <w:t>Deuxième domaine d’action</w:t>
      </w:r>
    </w:p>
    <w:p w14:paraId="5660C9DD" w14:textId="7BAC94F8" w:rsidR="00016718" w:rsidRPr="0064138E" w:rsidRDefault="00016718" w:rsidP="00016718">
      <w:pPr>
        <w:rPr>
          <w:rFonts w:cs="Tahoma"/>
          <w:szCs w:val="23"/>
        </w:rPr>
      </w:pPr>
      <w:r w:rsidRPr="0064138E">
        <w:rPr>
          <w:rFonts w:cs="Tahoma"/>
          <w:b/>
          <w:bCs/>
          <w:szCs w:val="23"/>
        </w:rPr>
        <w:t>Constat</w:t>
      </w:r>
      <w:r w:rsidR="00962E97">
        <w:rPr>
          <w:rFonts w:cs="Tahoma"/>
          <w:b/>
          <w:bCs/>
          <w:szCs w:val="23"/>
        </w:rPr>
        <w:t>s</w:t>
      </w:r>
      <w:r w:rsidRPr="0064138E">
        <w:rPr>
          <w:rFonts w:cs="Tahoma"/>
          <w:b/>
          <w:bCs/>
          <w:szCs w:val="23"/>
        </w:rPr>
        <w:t xml:space="preserve"> :</w:t>
      </w:r>
    </w:p>
    <w:p w14:paraId="5A2D0777" w14:textId="768CCAB5" w:rsidR="00016718" w:rsidRPr="0064138E" w:rsidRDefault="00016718" w:rsidP="00016718">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0C843474" w14:textId="77777777" w:rsidR="00016718" w:rsidRPr="0064138E" w:rsidRDefault="00016718" w:rsidP="00016718">
      <w:pPr>
        <w:rPr>
          <w:rFonts w:cs="Tahoma"/>
          <w:szCs w:val="23"/>
        </w:rPr>
      </w:pPr>
      <w:r w:rsidRPr="0064138E">
        <w:rPr>
          <w:rFonts w:cs="Tahoma"/>
          <w:b/>
          <w:bCs/>
          <w:szCs w:val="23"/>
        </w:rPr>
        <w:t>Actions :</w:t>
      </w:r>
    </w:p>
    <w:p w14:paraId="46DCFFE9" w14:textId="77777777" w:rsidR="00016718" w:rsidRPr="0064138E" w:rsidRDefault="00016718" w:rsidP="00016718">
      <w:pPr>
        <w:numPr>
          <w:ilvl w:val="0"/>
          <w:numId w:val="14"/>
        </w:numPr>
        <w:rPr>
          <w:rFonts w:cs="Tahoma"/>
          <w:szCs w:val="23"/>
        </w:rPr>
      </w:pPr>
      <w:r w:rsidRPr="0064138E">
        <w:rPr>
          <w:rFonts w:cs="Tahoma"/>
          <w:szCs w:val="23"/>
        </w:rPr>
        <w:t xml:space="preserve">… </w:t>
      </w:r>
    </w:p>
    <w:p w14:paraId="27526935" w14:textId="77777777" w:rsidR="00016718" w:rsidRPr="0064138E" w:rsidRDefault="00016718" w:rsidP="00016718">
      <w:pPr>
        <w:numPr>
          <w:ilvl w:val="0"/>
          <w:numId w:val="14"/>
        </w:numPr>
        <w:rPr>
          <w:rFonts w:cs="Tahoma"/>
          <w:szCs w:val="23"/>
        </w:rPr>
      </w:pPr>
      <w:r w:rsidRPr="0064138E">
        <w:rPr>
          <w:rFonts w:cs="Tahoma"/>
          <w:szCs w:val="23"/>
        </w:rPr>
        <w:t>…</w:t>
      </w:r>
    </w:p>
    <w:p w14:paraId="1F9AEEBF" w14:textId="77777777" w:rsidR="00016718" w:rsidRDefault="00016718" w:rsidP="00016718">
      <w:pPr>
        <w:rPr>
          <w:rFonts w:cs="Tahoma"/>
          <w:b/>
          <w:bCs/>
          <w:szCs w:val="23"/>
        </w:rPr>
      </w:pPr>
      <w:r w:rsidRPr="0064138E">
        <w:rPr>
          <w:rFonts w:cs="Tahoma"/>
          <w:b/>
          <w:bCs/>
          <w:szCs w:val="23"/>
        </w:rPr>
        <w:t>Indicateurs de suivi :</w:t>
      </w:r>
    </w:p>
    <w:p w14:paraId="1C1CD5A7" w14:textId="58274D61" w:rsidR="00016718" w:rsidRPr="001378ED" w:rsidRDefault="00962E97" w:rsidP="009D7E0C">
      <w:pPr>
        <w:rPr>
          <w:rFonts w:cs="Tahoma"/>
          <w:szCs w:val="23"/>
        </w:rPr>
      </w:pPr>
      <w:r>
        <w:rPr>
          <w:rFonts w:cs="Tahoma"/>
          <w:b/>
          <w:bCs/>
          <w:szCs w:val="23"/>
        </w:rPr>
        <w:t>Budget et m</w:t>
      </w:r>
      <w:r w:rsidR="00016718">
        <w:rPr>
          <w:rFonts w:cs="Tahoma"/>
          <w:b/>
          <w:bCs/>
          <w:szCs w:val="23"/>
        </w:rPr>
        <w:t>oyens mobilisés (</w:t>
      </w:r>
      <w:r w:rsidR="009D7E0C">
        <w:rPr>
          <w:rFonts w:cs="Tahoma"/>
          <w:b/>
          <w:bCs/>
          <w:szCs w:val="23"/>
        </w:rPr>
        <w:t>humains, organisationnels et, le cas échéant, financiers) :</w:t>
      </w:r>
    </w:p>
    <w:p w14:paraId="193D26E9" w14:textId="77777777" w:rsidR="00016718" w:rsidRDefault="00016718" w:rsidP="00016718">
      <w:pPr>
        <w:rPr>
          <w:rFonts w:cs="Tahoma"/>
          <w:b/>
          <w:bCs/>
          <w:szCs w:val="23"/>
        </w:rPr>
      </w:pPr>
      <w:r w:rsidRPr="0064138E">
        <w:rPr>
          <w:rFonts w:cs="Tahoma"/>
          <w:b/>
          <w:bCs/>
          <w:szCs w:val="23"/>
        </w:rPr>
        <w:t>Échéancier :</w:t>
      </w:r>
      <w:r>
        <w:rPr>
          <w:rFonts w:cs="Tahoma"/>
          <w:b/>
          <w:bCs/>
          <w:szCs w:val="23"/>
        </w:rPr>
        <w:t xml:space="preserve"> </w:t>
      </w:r>
    </w:p>
    <w:p w14:paraId="40CAA892" w14:textId="77777777" w:rsidR="009D7E0C" w:rsidRDefault="009D7E0C" w:rsidP="00016718">
      <w:pPr>
        <w:rPr>
          <w:rFonts w:cs="Tahoma"/>
          <w:szCs w:val="23"/>
        </w:rPr>
      </w:pPr>
    </w:p>
    <w:p w14:paraId="39424752" w14:textId="7054A517" w:rsidR="007E7530" w:rsidRPr="00F246B6" w:rsidRDefault="009D7E0C" w:rsidP="009D7E0C">
      <w:pPr>
        <w:pStyle w:val="Sous-titre"/>
        <w:rPr>
          <w:rFonts w:cs="Tahoma"/>
          <w:szCs w:val="23"/>
        </w:rPr>
      </w:pPr>
      <w:r>
        <w:t xml:space="preserve">Article 7 – </w:t>
      </w:r>
      <w:r>
        <w:rPr>
          <w:highlight w:val="yellow"/>
        </w:rPr>
        <w:t xml:space="preserve">Troisième </w:t>
      </w:r>
      <w:r w:rsidRPr="00016718">
        <w:rPr>
          <w:highlight w:val="yellow"/>
        </w:rPr>
        <w:t>domaine d’action</w:t>
      </w:r>
    </w:p>
    <w:p w14:paraId="1720FA8F" w14:textId="76D06DAF" w:rsidR="009D7E0C" w:rsidRPr="0064138E" w:rsidRDefault="009D7E0C" w:rsidP="009D7E0C">
      <w:pPr>
        <w:rPr>
          <w:rFonts w:cs="Tahoma"/>
          <w:szCs w:val="23"/>
        </w:rPr>
      </w:pPr>
      <w:r w:rsidRPr="0064138E">
        <w:rPr>
          <w:rFonts w:cs="Tahoma"/>
          <w:b/>
          <w:bCs/>
          <w:szCs w:val="23"/>
        </w:rPr>
        <w:t>Constat</w:t>
      </w:r>
      <w:r w:rsidR="00962E97">
        <w:rPr>
          <w:rFonts w:cs="Tahoma"/>
          <w:b/>
          <w:bCs/>
          <w:szCs w:val="23"/>
        </w:rPr>
        <w:t>s</w:t>
      </w:r>
      <w:r w:rsidRPr="0064138E">
        <w:rPr>
          <w:rFonts w:cs="Tahoma"/>
          <w:b/>
          <w:bCs/>
          <w:szCs w:val="23"/>
        </w:rPr>
        <w:t xml:space="preserve"> :</w:t>
      </w:r>
    </w:p>
    <w:p w14:paraId="67390ABA" w14:textId="6C1180F3" w:rsidR="009D7E0C" w:rsidRPr="0064138E" w:rsidRDefault="009D7E0C" w:rsidP="009D7E0C">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125D660D" w14:textId="77777777" w:rsidR="009D7E0C" w:rsidRPr="0064138E" w:rsidRDefault="009D7E0C" w:rsidP="009D7E0C">
      <w:pPr>
        <w:rPr>
          <w:rFonts w:cs="Tahoma"/>
          <w:szCs w:val="23"/>
        </w:rPr>
      </w:pPr>
      <w:r w:rsidRPr="0064138E">
        <w:rPr>
          <w:rFonts w:cs="Tahoma"/>
          <w:b/>
          <w:bCs/>
          <w:szCs w:val="23"/>
        </w:rPr>
        <w:t>Actions :</w:t>
      </w:r>
    </w:p>
    <w:p w14:paraId="2420CA74" w14:textId="77777777" w:rsidR="009D7E0C" w:rsidRPr="0064138E" w:rsidRDefault="009D7E0C" w:rsidP="009D7E0C">
      <w:pPr>
        <w:numPr>
          <w:ilvl w:val="0"/>
          <w:numId w:val="14"/>
        </w:numPr>
        <w:rPr>
          <w:rFonts w:cs="Tahoma"/>
          <w:szCs w:val="23"/>
        </w:rPr>
      </w:pPr>
      <w:r w:rsidRPr="0064138E">
        <w:rPr>
          <w:rFonts w:cs="Tahoma"/>
          <w:szCs w:val="23"/>
        </w:rPr>
        <w:t xml:space="preserve">… </w:t>
      </w:r>
    </w:p>
    <w:p w14:paraId="190393CB" w14:textId="77777777" w:rsidR="009D7E0C" w:rsidRPr="0064138E" w:rsidRDefault="009D7E0C" w:rsidP="009D7E0C">
      <w:pPr>
        <w:numPr>
          <w:ilvl w:val="0"/>
          <w:numId w:val="14"/>
        </w:numPr>
        <w:rPr>
          <w:rFonts w:cs="Tahoma"/>
          <w:szCs w:val="23"/>
        </w:rPr>
      </w:pPr>
      <w:r w:rsidRPr="0064138E">
        <w:rPr>
          <w:rFonts w:cs="Tahoma"/>
          <w:szCs w:val="23"/>
        </w:rPr>
        <w:t>…</w:t>
      </w:r>
    </w:p>
    <w:p w14:paraId="39498972" w14:textId="77777777" w:rsidR="009D7E0C" w:rsidRDefault="009D7E0C" w:rsidP="009D7E0C">
      <w:pPr>
        <w:rPr>
          <w:rFonts w:cs="Tahoma"/>
          <w:b/>
          <w:bCs/>
          <w:szCs w:val="23"/>
        </w:rPr>
      </w:pPr>
      <w:r w:rsidRPr="0064138E">
        <w:rPr>
          <w:rFonts w:cs="Tahoma"/>
          <w:b/>
          <w:bCs/>
          <w:szCs w:val="23"/>
        </w:rPr>
        <w:t>Indicateurs de suivi :</w:t>
      </w:r>
    </w:p>
    <w:p w14:paraId="552AA4D1" w14:textId="611D847D" w:rsidR="009D7E0C" w:rsidRPr="001378ED" w:rsidRDefault="00962E97" w:rsidP="009D7E0C">
      <w:pPr>
        <w:rPr>
          <w:rFonts w:cs="Tahoma"/>
          <w:szCs w:val="23"/>
        </w:rPr>
      </w:pPr>
      <w:r>
        <w:rPr>
          <w:rFonts w:cs="Tahoma"/>
          <w:b/>
          <w:bCs/>
          <w:szCs w:val="23"/>
        </w:rPr>
        <w:lastRenderedPageBreak/>
        <w:t>Budget et m</w:t>
      </w:r>
      <w:r w:rsidR="009D7E0C">
        <w:rPr>
          <w:rFonts w:cs="Tahoma"/>
          <w:b/>
          <w:bCs/>
          <w:szCs w:val="23"/>
        </w:rPr>
        <w:t>oyens mobilisés (humains, organisationnels et, le cas échéant, financiers) :</w:t>
      </w:r>
    </w:p>
    <w:p w14:paraId="70E33789" w14:textId="365E2005" w:rsidR="007E7530" w:rsidRDefault="009D7E0C" w:rsidP="009D7E0C">
      <w:pPr>
        <w:rPr>
          <w:rFonts w:cs="Tahoma"/>
          <w:b/>
          <w:bCs/>
          <w:szCs w:val="23"/>
        </w:rPr>
      </w:pPr>
      <w:r w:rsidRPr="0064138E">
        <w:rPr>
          <w:rFonts w:cs="Tahoma"/>
          <w:b/>
          <w:bCs/>
          <w:szCs w:val="23"/>
        </w:rPr>
        <w:t>Échéancier :</w:t>
      </w:r>
      <w:r>
        <w:rPr>
          <w:rFonts w:cs="Tahoma"/>
          <w:b/>
          <w:bCs/>
          <w:szCs w:val="23"/>
        </w:rPr>
        <w:t xml:space="preserve"> </w:t>
      </w:r>
    </w:p>
    <w:p w14:paraId="5581F99E" w14:textId="77777777" w:rsidR="00EA10C9" w:rsidRDefault="00EA10C9" w:rsidP="00EA10C9">
      <w:pPr>
        <w:jc w:val="left"/>
        <w:rPr>
          <w:rFonts w:cs="Tahoma"/>
          <w:b/>
          <w:bCs/>
          <w:szCs w:val="23"/>
        </w:rPr>
      </w:pPr>
    </w:p>
    <w:p w14:paraId="57D67050" w14:textId="48D604C6" w:rsidR="007E7530" w:rsidRPr="00EA10C9" w:rsidRDefault="009D7E0C" w:rsidP="00EA10C9">
      <w:pPr>
        <w:pStyle w:val="Sous-titre"/>
        <w:rPr>
          <w:rFonts w:cs="Tahoma"/>
          <w:bCs/>
          <w:szCs w:val="23"/>
        </w:rPr>
      </w:pPr>
      <w:r>
        <w:t xml:space="preserve">Article 8 – Quatrième domaine d’action </w:t>
      </w:r>
    </w:p>
    <w:p w14:paraId="54A34E30" w14:textId="73897EE2" w:rsidR="005823D4" w:rsidRPr="005823D4" w:rsidRDefault="005823D4" w:rsidP="005823D4">
      <w:pPr>
        <w:rPr>
          <w:i/>
          <w:iCs/>
        </w:rPr>
      </w:pPr>
      <w:r w:rsidRPr="005823D4">
        <w:rPr>
          <w:i/>
          <w:iCs/>
        </w:rPr>
        <w:t>(</w:t>
      </w:r>
      <w:r w:rsidR="00BC52E4" w:rsidRPr="00EA10C9">
        <w:rPr>
          <w:i/>
          <w:iCs/>
          <w:highlight w:val="yellow"/>
        </w:rPr>
        <w:t>Ce 4</w:t>
      </w:r>
      <w:r w:rsidR="00BC52E4" w:rsidRPr="00EA10C9">
        <w:rPr>
          <w:i/>
          <w:iCs/>
          <w:highlight w:val="yellow"/>
          <w:vertAlign w:val="superscript"/>
        </w:rPr>
        <w:t>ème</w:t>
      </w:r>
      <w:r w:rsidR="00BC52E4" w:rsidRPr="00EA10C9">
        <w:rPr>
          <w:i/>
          <w:iCs/>
          <w:highlight w:val="yellow"/>
        </w:rPr>
        <w:t xml:space="preserve"> </w:t>
      </w:r>
      <w:r w:rsidRPr="00EA10C9">
        <w:rPr>
          <w:i/>
          <w:iCs/>
          <w:highlight w:val="yellow"/>
        </w:rPr>
        <w:t xml:space="preserve">domaine est obligatoire dans les entreprises d’au moins 300 </w:t>
      </w:r>
      <w:proofErr w:type="spellStart"/>
      <w:r w:rsidRPr="00EA10C9">
        <w:rPr>
          <w:i/>
          <w:iCs/>
          <w:highlight w:val="yellow"/>
        </w:rPr>
        <w:t>salarié·es</w:t>
      </w:r>
      <w:proofErr w:type="spellEnd"/>
      <w:r w:rsidRPr="005823D4">
        <w:rPr>
          <w:i/>
          <w:iCs/>
        </w:rPr>
        <w:t>)</w:t>
      </w:r>
    </w:p>
    <w:p w14:paraId="282F6AEA" w14:textId="44709BC2" w:rsidR="009D7E0C" w:rsidRPr="0064138E" w:rsidRDefault="009D7E0C" w:rsidP="009D7E0C">
      <w:pPr>
        <w:rPr>
          <w:rFonts w:cs="Tahoma"/>
          <w:szCs w:val="23"/>
        </w:rPr>
      </w:pPr>
      <w:r w:rsidRPr="0064138E">
        <w:rPr>
          <w:rFonts w:cs="Tahoma"/>
          <w:b/>
          <w:bCs/>
          <w:szCs w:val="23"/>
        </w:rPr>
        <w:t>Constat</w:t>
      </w:r>
      <w:r w:rsidR="00962E97">
        <w:rPr>
          <w:rFonts w:cs="Tahoma"/>
          <w:b/>
          <w:bCs/>
          <w:szCs w:val="23"/>
        </w:rPr>
        <w:t>s</w:t>
      </w:r>
      <w:r w:rsidRPr="0064138E">
        <w:rPr>
          <w:rFonts w:cs="Tahoma"/>
          <w:b/>
          <w:bCs/>
          <w:szCs w:val="23"/>
        </w:rPr>
        <w:t xml:space="preserve"> :</w:t>
      </w:r>
    </w:p>
    <w:p w14:paraId="3E2561FC" w14:textId="109981B4" w:rsidR="009D7E0C" w:rsidRPr="0064138E" w:rsidRDefault="009D7E0C" w:rsidP="009D7E0C">
      <w:pPr>
        <w:rPr>
          <w:rFonts w:cs="Tahoma"/>
          <w:szCs w:val="23"/>
        </w:rPr>
      </w:pPr>
      <w:r w:rsidRPr="0064138E">
        <w:rPr>
          <w:rFonts w:cs="Tahoma"/>
          <w:b/>
          <w:bCs/>
          <w:szCs w:val="23"/>
        </w:rPr>
        <w:t>Objectif de progression :</w:t>
      </w:r>
      <w:r w:rsidRPr="0064138E">
        <w:rPr>
          <w:rFonts w:cs="Tahoma"/>
          <w:szCs w:val="23"/>
        </w:rPr>
        <w:br/>
        <w:t>(Objectif à préciser et, dans la mesure du possible, à quantifier)</w:t>
      </w:r>
    </w:p>
    <w:p w14:paraId="3B2CC542" w14:textId="77777777" w:rsidR="009D7E0C" w:rsidRPr="0064138E" w:rsidRDefault="009D7E0C" w:rsidP="009D7E0C">
      <w:pPr>
        <w:rPr>
          <w:rFonts w:cs="Tahoma"/>
          <w:szCs w:val="23"/>
        </w:rPr>
      </w:pPr>
      <w:r w:rsidRPr="0064138E">
        <w:rPr>
          <w:rFonts w:cs="Tahoma"/>
          <w:b/>
          <w:bCs/>
          <w:szCs w:val="23"/>
        </w:rPr>
        <w:t>Actions :</w:t>
      </w:r>
    </w:p>
    <w:p w14:paraId="3F983E1B" w14:textId="77777777" w:rsidR="009D7E0C" w:rsidRPr="0064138E" w:rsidRDefault="009D7E0C" w:rsidP="009D7E0C">
      <w:pPr>
        <w:numPr>
          <w:ilvl w:val="0"/>
          <w:numId w:val="14"/>
        </w:numPr>
        <w:rPr>
          <w:rFonts w:cs="Tahoma"/>
          <w:szCs w:val="23"/>
        </w:rPr>
      </w:pPr>
      <w:r w:rsidRPr="0064138E">
        <w:rPr>
          <w:rFonts w:cs="Tahoma"/>
          <w:szCs w:val="23"/>
        </w:rPr>
        <w:t xml:space="preserve">… </w:t>
      </w:r>
    </w:p>
    <w:p w14:paraId="4E937670" w14:textId="77777777" w:rsidR="009D7E0C" w:rsidRPr="0064138E" w:rsidRDefault="009D7E0C" w:rsidP="009D7E0C">
      <w:pPr>
        <w:numPr>
          <w:ilvl w:val="0"/>
          <w:numId w:val="14"/>
        </w:numPr>
        <w:rPr>
          <w:rFonts w:cs="Tahoma"/>
          <w:szCs w:val="23"/>
        </w:rPr>
      </w:pPr>
      <w:r w:rsidRPr="0064138E">
        <w:rPr>
          <w:rFonts w:cs="Tahoma"/>
          <w:szCs w:val="23"/>
        </w:rPr>
        <w:t>…</w:t>
      </w:r>
    </w:p>
    <w:p w14:paraId="0A337E5B" w14:textId="77777777" w:rsidR="009D7E0C" w:rsidRDefault="009D7E0C" w:rsidP="009D7E0C">
      <w:pPr>
        <w:rPr>
          <w:rFonts w:cs="Tahoma"/>
          <w:b/>
          <w:bCs/>
          <w:szCs w:val="23"/>
        </w:rPr>
      </w:pPr>
      <w:r w:rsidRPr="0064138E">
        <w:rPr>
          <w:rFonts w:cs="Tahoma"/>
          <w:b/>
          <w:bCs/>
          <w:szCs w:val="23"/>
        </w:rPr>
        <w:t>Indicateurs de suivi :</w:t>
      </w:r>
    </w:p>
    <w:p w14:paraId="74833076" w14:textId="7ABD5EF0" w:rsidR="009D7E0C" w:rsidRPr="001378ED" w:rsidRDefault="00962E97" w:rsidP="009D7E0C">
      <w:pPr>
        <w:rPr>
          <w:rFonts w:cs="Tahoma"/>
          <w:szCs w:val="23"/>
        </w:rPr>
      </w:pPr>
      <w:r>
        <w:rPr>
          <w:rFonts w:cs="Tahoma"/>
          <w:b/>
          <w:bCs/>
          <w:szCs w:val="23"/>
        </w:rPr>
        <w:t>Budget et m</w:t>
      </w:r>
      <w:r w:rsidR="009D7E0C">
        <w:rPr>
          <w:rFonts w:cs="Tahoma"/>
          <w:b/>
          <w:bCs/>
          <w:szCs w:val="23"/>
        </w:rPr>
        <w:t>oyens mobilisés (humains, organisationnels et, le cas échéant, financiers) :</w:t>
      </w:r>
    </w:p>
    <w:p w14:paraId="65337E5F" w14:textId="074575A6" w:rsidR="00AC1B4A" w:rsidRDefault="009D7E0C" w:rsidP="00AC1B4A">
      <w:pPr>
        <w:rPr>
          <w:rFonts w:cs="Tahoma"/>
          <w:b/>
          <w:bCs/>
          <w:szCs w:val="23"/>
        </w:rPr>
      </w:pPr>
      <w:r w:rsidRPr="0064138E">
        <w:rPr>
          <w:rFonts w:cs="Tahoma"/>
          <w:b/>
          <w:bCs/>
          <w:szCs w:val="23"/>
        </w:rPr>
        <w:t>Échéancier :</w:t>
      </w:r>
      <w:r>
        <w:rPr>
          <w:rFonts w:cs="Tahoma"/>
          <w:b/>
          <w:bCs/>
          <w:szCs w:val="23"/>
        </w:rPr>
        <w:t xml:space="preserve"> </w:t>
      </w:r>
    </w:p>
    <w:p w14:paraId="2A11DA1A" w14:textId="77777777" w:rsidR="002B04D8" w:rsidRDefault="002B04D8" w:rsidP="002B04D8">
      <w:pPr>
        <w:jc w:val="left"/>
        <w:rPr>
          <w:rFonts w:cs="Tahoma"/>
          <w:b/>
          <w:bCs/>
          <w:szCs w:val="23"/>
        </w:rPr>
      </w:pPr>
    </w:p>
    <w:p w14:paraId="15317C60" w14:textId="24E61720" w:rsidR="007E7530" w:rsidRPr="002B04D8" w:rsidRDefault="007E7530" w:rsidP="002B04D8">
      <w:pPr>
        <w:pStyle w:val="Sous-titre"/>
        <w:rPr>
          <w:rFonts w:cs="Tahoma"/>
          <w:bCs/>
          <w:szCs w:val="23"/>
        </w:rPr>
      </w:pPr>
      <w:r w:rsidRPr="00F246B6">
        <w:t>A</w:t>
      </w:r>
      <w:r w:rsidR="00AC1B4A">
        <w:t xml:space="preserve">rticle 9 </w:t>
      </w:r>
      <w:r w:rsidR="00D81D82">
        <w:t>–</w:t>
      </w:r>
      <w:r w:rsidR="00AC1B4A">
        <w:t xml:space="preserve"> </w:t>
      </w:r>
      <w:r w:rsidR="00D81D82">
        <w:t>Suivi d</w:t>
      </w:r>
      <w:r w:rsidR="00C21D50">
        <w:t>u plan d’action</w:t>
      </w:r>
    </w:p>
    <w:p w14:paraId="50E5273B" w14:textId="77777777" w:rsidR="000D7145" w:rsidRPr="000D7145" w:rsidRDefault="000D7145" w:rsidP="000D7145">
      <w:pPr>
        <w:spacing w:before="80"/>
        <w:rPr>
          <w:rFonts w:cs="Tahoma"/>
          <w:szCs w:val="23"/>
        </w:rPr>
      </w:pPr>
      <w:r w:rsidRPr="000D7145">
        <w:rPr>
          <w:rFonts w:cs="Tahoma"/>
          <w:szCs w:val="23"/>
        </w:rPr>
        <w:t>La réalisation des actions retenues sera suivie par le comité social et économique (CSE) et la direction grâce aux indicateurs de suivi définis dans le présent plan d’action.</w:t>
      </w:r>
    </w:p>
    <w:p w14:paraId="5D2C4EDF" w14:textId="52661896" w:rsidR="00EA10C9" w:rsidRDefault="000D7145" w:rsidP="007E7530">
      <w:pPr>
        <w:spacing w:before="80"/>
        <w:rPr>
          <w:rFonts w:cs="Tahoma"/>
          <w:szCs w:val="23"/>
        </w:rPr>
      </w:pPr>
      <w:r w:rsidRPr="000D7145">
        <w:rPr>
          <w:rFonts w:cs="Tahoma"/>
          <w:szCs w:val="23"/>
        </w:rPr>
        <w:t>Ce suivi fera l’objet d’une réunion dédiée avant l’expiration du présent plan d’action afin d’anticiper au mieux le prochain accord ou plan d’action relatif à l’égalité professionnelle.</w:t>
      </w:r>
    </w:p>
    <w:p w14:paraId="2DA9FD2D" w14:textId="77777777" w:rsidR="000D7145" w:rsidRPr="00F246B6" w:rsidRDefault="000D7145" w:rsidP="007E7530">
      <w:pPr>
        <w:spacing w:before="80"/>
        <w:rPr>
          <w:rFonts w:cs="Tahoma"/>
          <w:szCs w:val="23"/>
        </w:rPr>
      </w:pPr>
    </w:p>
    <w:p w14:paraId="298D3DB2" w14:textId="7BD58B66" w:rsidR="007E7530" w:rsidRPr="00F246B6" w:rsidRDefault="00DA750B" w:rsidP="00F74AA6">
      <w:pPr>
        <w:pStyle w:val="Sous-titre"/>
      </w:pPr>
      <w:r>
        <w:t xml:space="preserve">Article 10 – Durée </w:t>
      </w:r>
      <w:r w:rsidR="00E61B44">
        <w:t>du plan d’action</w:t>
      </w:r>
      <w:r>
        <w:t xml:space="preserve"> </w:t>
      </w:r>
    </w:p>
    <w:p w14:paraId="2A848D56" w14:textId="6F9AA053" w:rsidR="007E7530" w:rsidRPr="00F246B6" w:rsidRDefault="007E7530" w:rsidP="007E7530">
      <w:pPr>
        <w:spacing w:before="80"/>
        <w:rPr>
          <w:rFonts w:cs="Tahoma"/>
          <w:szCs w:val="23"/>
        </w:rPr>
      </w:pPr>
      <w:r w:rsidRPr="00F246B6">
        <w:rPr>
          <w:rFonts w:cs="Tahoma"/>
          <w:szCs w:val="23"/>
        </w:rPr>
        <w:t xml:space="preserve">Le présent </w:t>
      </w:r>
      <w:r w:rsidR="00E61B44">
        <w:rPr>
          <w:rFonts w:cs="Tahoma"/>
          <w:szCs w:val="23"/>
        </w:rPr>
        <w:t xml:space="preserve">plan d’action </w:t>
      </w:r>
      <w:r w:rsidRPr="00F246B6">
        <w:rPr>
          <w:rFonts w:cs="Tahoma"/>
          <w:szCs w:val="23"/>
        </w:rPr>
        <w:t xml:space="preserve">est </w:t>
      </w:r>
      <w:r w:rsidR="000D7145">
        <w:rPr>
          <w:rFonts w:cs="Tahoma"/>
          <w:szCs w:val="23"/>
        </w:rPr>
        <w:t>établi</w:t>
      </w:r>
      <w:r w:rsidRPr="00F246B6">
        <w:rPr>
          <w:rFonts w:cs="Tahoma"/>
          <w:szCs w:val="23"/>
        </w:rPr>
        <w:t xml:space="preserve"> pour une durée déterminée d</w:t>
      </w:r>
      <w:r w:rsidR="000D7145">
        <w:rPr>
          <w:rFonts w:cs="Tahoma"/>
          <w:szCs w:val="23"/>
        </w:rPr>
        <w:t>’un</w:t>
      </w:r>
      <w:r w:rsidR="00B04E49">
        <w:rPr>
          <w:rFonts w:cs="Tahoma"/>
          <w:szCs w:val="23"/>
        </w:rPr>
        <w:t xml:space="preserve"> an. </w:t>
      </w:r>
    </w:p>
    <w:p w14:paraId="3A2EF482" w14:textId="77777777" w:rsidR="007E7530" w:rsidRPr="00F246B6" w:rsidRDefault="007E7530" w:rsidP="007E7530">
      <w:pPr>
        <w:rPr>
          <w:rFonts w:cs="Tahoma"/>
          <w:b/>
          <w:szCs w:val="23"/>
        </w:rPr>
      </w:pPr>
    </w:p>
    <w:p w14:paraId="3666F804" w14:textId="13CF32B6" w:rsidR="007E7530" w:rsidRPr="00F246B6" w:rsidRDefault="000C0523" w:rsidP="000C0523">
      <w:pPr>
        <w:pStyle w:val="Sous-titre"/>
      </w:pPr>
      <w:r>
        <w:t>Article 11 – Entrée en vigueur</w:t>
      </w:r>
    </w:p>
    <w:p w14:paraId="7C1A8C8C" w14:textId="77777777" w:rsidR="00F56119" w:rsidRPr="00F56119" w:rsidRDefault="00F56119" w:rsidP="00F56119">
      <w:pPr>
        <w:spacing w:before="80"/>
        <w:rPr>
          <w:rFonts w:cs="Tahoma"/>
          <w:szCs w:val="23"/>
        </w:rPr>
      </w:pPr>
      <w:r w:rsidRPr="00F56119">
        <w:rPr>
          <w:rFonts w:cs="Tahoma"/>
          <w:szCs w:val="23"/>
        </w:rPr>
        <w:t>Le présent plan d’action entrera en vigueur le lendemain de son dépôt à la DREETS.</w:t>
      </w:r>
    </w:p>
    <w:p w14:paraId="1787464B" w14:textId="616B37E0" w:rsidR="00431D4B" w:rsidRDefault="00F56119" w:rsidP="007E7530">
      <w:pPr>
        <w:spacing w:before="80"/>
        <w:rPr>
          <w:rFonts w:cs="Tahoma"/>
          <w:szCs w:val="23"/>
        </w:rPr>
      </w:pPr>
      <w:r w:rsidRPr="00F56119">
        <w:rPr>
          <w:rFonts w:cs="Tahoma"/>
          <w:szCs w:val="23"/>
        </w:rPr>
        <w:t>Il cessera de produire effet à l’issue d’un délai d’un an à compter de son entrée en vigueur.</w:t>
      </w:r>
    </w:p>
    <w:p w14:paraId="74CAE75F" w14:textId="19C4D956" w:rsidR="00F56119" w:rsidRDefault="00F56119" w:rsidP="00F56119">
      <w:pPr>
        <w:jc w:val="left"/>
        <w:rPr>
          <w:rFonts w:cs="Tahoma"/>
          <w:szCs w:val="23"/>
        </w:rPr>
      </w:pPr>
      <w:r>
        <w:rPr>
          <w:rFonts w:cs="Tahoma"/>
          <w:szCs w:val="23"/>
        </w:rPr>
        <w:br w:type="page"/>
      </w:r>
    </w:p>
    <w:p w14:paraId="005BB759" w14:textId="4BF4EED0" w:rsidR="00431D4B" w:rsidRPr="00681CEA" w:rsidRDefault="00431D4B" w:rsidP="00681CEA">
      <w:pPr>
        <w:pStyle w:val="Sous-titre"/>
      </w:pPr>
      <w:r>
        <w:lastRenderedPageBreak/>
        <w:t>Article 12 - Révision</w:t>
      </w:r>
    </w:p>
    <w:p w14:paraId="04431EDD" w14:textId="7A103CF0" w:rsidR="000C116D" w:rsidRPr="000C116D" w:rsidRDefault="000C116D" w:rsidP="000C116D">
      <w:pPr>
        <w:spacing w:before="80"/>
        <w:rPr>
          <w:szCs w:val="24"/>
        </w:rPr>
      </w:pPr>
      <w:r w:rsidRPr="000C116D">
        <w:rPr>
          <w:szCs w:val="24"/>
        </w:rPr>
        <w:t>Le présent plan</w:t>
      </w:r>
      <w:r>
        <w:rPr>
          <w:szCs w:val="24"/>
        </w:rPr>
        <w:t xml:space="preserve"> d’action</w:t>
      </w:r>
      <w:r w:rsidRPr="000C116D">
        <w:rPr>
          <w:szCs w:val="24"/>
        </w:rPr>
        <w:t xml:space="preserve"> pourra être révisé, à tout moment par </w:t>
      </w:r>
      <w:r>
        <w:rPr>
          <w:szCs w:val="24"/>
        </w:rPr>
        <w:t>la direction</w:t>
      </w:r>
      <w:r w:rsidRPr="000C116D">
        <w:rPr>
          <w:szCs w:val="24"/>
        </w:rPr>
        <w:t>, après information</w:t>
      </w:r>
      <w:r w:rsidR="00E30DF6">
        <w:rPr>
          <w:szCs w:val="24"/>
        </w:rPr>
        <w:t xml:space="preserve"> et consultation</w:t>
      </w:r>
      <w:r w:rsidRPr="000C116D">
        <w:rPr>
          <w:szCs w:val="24"/>
        </w:rPr>
        <w:t xml:space="preserve"> des membres du comité social économique.</w:t>
      </w:r>
    </w:p>
    <w:p w14:paraId="1E03B391" w14:textId="5429DF55" w:rsidR="000C116D" w:rsidRPr="000C116D" w:rsidRDefault="000C116D" w:rsidP="000C116D">
      <w:pPr>
        <w:spacing w:before="80"/>
        <w:rPr>
          <w:szCs w:val="24"/>
        </w:rPr>
      </w:pPr>
      <w:r w:rsidRPr="000C116D">
        <w:rPr>
          <w:szCs w:val="24"/>
        </w:rPr>
        <w:t>Notamment, en cas de modification législative ou conventionnelle, la</w:t>
      </w:r>
      <w:r>
        <w:rPr>
          <w:szCs w:val="24"/>
        </w:rPr>
        <w:t xml:space="preserve"> direction</w:t>
      </w:r>
      <w:r w:rsidRPr="000C116D">
        <w:rPr>
          <w:szCs w:val="24"/>
        </w:rPr>
        <w:t xml:space="preserve">, après information </w:t>
      </w:r>
      <w:r w:rsidR="000D749C">
        <w:rPr>
          <w:szCs w:val="24"/>
        </w:rPr>
        <w:t xml:space="preserve">et consultation </w:t>
      </w:r>
      <w:r w:rsidRPr="000C116D">
        <w:rPr>
          <w:szCs w:val="24"/>
        </w:rPr>
        <w:t>des membres du comité social économique, mettra en conformité le présent plan</w:t>
      </w:r>
      <w:r>
        <w:rPr>
          <w:szCs w:val="24"/>
        </w:rPr>
        <w:t xml:space="preserve"> d’action</w:t>
      </w:r>
      <w:r w:rsidRPr="000C116D">
        <w:rPr>
          <w:szCs w:val="24"/>
        </w:rPr>
        <w:t xml:space="preserve"> avec les nouvelles dispositions.</w:t>
      </w:r>
    </w:p>
    <w:p w14:paraId="5B17A668" w14:textId="77777777" w:rsidR="000D749C" w:rsidRDefault="000D749C" w:rsidP="00E41FD9">
      <w:pPr>
        <w:pStyle w:val="Sous-titre"/>
      </w:pPr>
    </w:p>
    <w:p w14:paraId="3364DDC1" w14:textId="5D2E7A53" w:rsidR="007E7530" w:rsidRPr="00F246B6" w:rsidRDefault="007E7530" w:rsidP="00E41FD9">
      <w:pPr>
        <w:pStyle w:val="Sous-titre"/>
      </w:pPr>
      <w:r w:rsidRPr="00F246B6">
        <w:t>A</w:t>
      </w:r>
      <w:r w:rsidR="00431D4B">
        <w:t>rticle 13 – Publicité et dépôt</w:t>
      </w:r>
    </w:p>
    <w:p w14:paraId="4696C157" w14:textId="77777777" w:rsidR="005449F7" w:rsidRPr="005449F7" w:rsidRDefault="005449F7" w:rsidP="005449F7">
      <w:pPr>
        <w:rPr>
          <w:szCs w:val="24"/>
        </w:rPr>
      </w:pPr>
      <w:r w:rsidRPr="005449F7">
        <w:rPr>
          <w:szCs w:val="24"/>
        </w:rPr>
        <w:t xml:space="preserve">Le présent plan d’action sera déposé sur la plateforme « </w:t>
      </w:r>
      <w:proofErr w:type="spellStart"/>
      <w:r w:rsidRPr="005449F7">
        <w:rPr>
          <w:szCs w:val="24"/>
        </w:rPr>
        <w:t>TéléAccords</w:t>
      </w:r>
      <w:proofErr w:type="spellEnd"/>
      <w:r w:rsidRPr="005449F7">
        <w:rPr>
          <w:szCs w:val="24"/>
        </w:rPr>
        <w:t xml:space="preserve"> » ainsi que, le cas échéant, au greffe du Conseil de prud’hommes compétent.</w:t>
      </w:r>
    </w:p>
    <w:p w14:paraId="2083F5CF" w14:textId="77777777" w:rsidR="005449F7" w:rsidRPr="005449F7" w:rsidRDefault="005449F7" w:rsidP="005449F7">
      <w:pPr>
        <w:rPr>
          <w:szCs w:val="24"/>
        </w:rPr>
      </w:pPr>
      <w:r w:rsidRPr="005449F7">
        <w:rPr>
          <w:szCs w:val="24"/>
        </w:rPr>
        <w:t xml:space="preserve">Il sera porté à la connaissance des </w:t>
      </w:r>
      <w:proofErr w:type="spellStart"/>
      <w:r w:rsidRPr="005449F7">
        <w:rPr>
          <w:szCs w:val="24"/>
        </w:rPr>
        <w:t>salarié·e·s</w:t>
      </w:r>
      <w:proofErr w:type="spellEnd"/>
      <w:r w:rsidRPr="005449F7">
        <w:rPr>
          <w:szCs w:val="24"/>
        </w:rPr>
        <w:t xml:space="preserve"> par tout moyen.</w:t>
      </w:r>
    </w:p>
    <w:p w14:paraId="0179B974" w14:textId="77777777" w:rsidR="005449F7" w:rsidRPr="005449F7" w:rsidRDefault="005449F7" w:rsidP="005449F7">
      <w:pPr>
        <w:rPr>
          <w:szCs w:val="24"/>
        </w:rPr>
      </w:pPr>
      <w:r w:rsidRPr="005449F7">
        <w:rPr>
          <w:szCs w:val="24"/>
        </w:rPr>
        <w:t>Il entrera en vigueur à compter du lendemain de son dépôt.</w:t>
      </w:r>
    </w:p>
    <w:p w14:paraId="22EA8624" w14:textId="77777777" w:rsidR="005672D2" w:rsidRDefault="005672D2" w:rsidP="005672D2">
      <w:pPr>
        <w:rPr>
          <w:rFonts w:cs="Tahoma"/>
          <w:szCs w:val="23"/>
        </w:rPr>
      </w:pPr>
    </w:p>
    <w:p w14:paraId="6CF275C9" w14:textId="55004B17" w:rsidR="00BB10DE" w:rsidRPr="00DC528E" w:rsidRDefault="00BB10DE" w:rsidP="00BB10DE">
      <w:pPr>
        <w:rPr>
          <w:szCs w:val="24"/>
        </w:rPr>
      </w:pPr>
      <w:r w:rsidRPr="00DC528E">
        <w:rPr>
          <w:b/>
          <w:bCs/>
          <w:szCs w:val="24"/>
        </w:rPr>
        <w:t>Fait à ……………………, le ……………………</w:t>
      </w:r>
    </w:p>
    <w:p w14:paraId="352A4DB0" w14:textId="07502B13" w:rsidR="002B04D8" w:rsidRPr="00BB10DE" w:rsidRDefault="00BB10DE" w:rsidP="00BB10DE">
      <w:pPr>
        <w:rPr>
          <w:szCs w:val="24"/>
        </w:rPr>
      </w:pPr>
      <w:r w:rsidRPr="00DC528E">
        <w:rPr>
          <w:szCs w:val="24"/>
        </w:rPr>
        <w:t>En ……… exemplaires originaux</w:t>
      </w:r>
    </w:p>
    <w:p w14:paraId="5EF4DC85" w14:textId="6E4F4A63" w:rsidR="00BB10DE" w:rsidRPr="00DC528E" w:rsidRDefault="00BB10DE" w:rsidP="00BB10DE">
      <w:pPr>
        <w:rPr>
          <w:szCs w:val="24"/>
        </w:rPr>
      </w:pPr>
      <w:r w:rsidRPr="00DC528E">
        <w:rPr>
          <w:szCs w:val="24"/>
        </w:rPr>
        <w:br/>
        <w:t>Nom – Fonction – Signature</w:t>
      </w:r>
    </w:p>
    <w:p w14:paraId="2EA64CC9" w14:textId="77777777" w:rsidR="00BB10DE" w:rsidRDefault="00BB10DE" w:rsidP="00BB10DE">
      <w:pPr>
        <w:rPr>
          <w:b/>
          <w:bCs/>
          <w:szCs w:val="24"/>
        </w:rPr>
      </w:pPr>
    </w:p>
    <w:p w14:paraId="2D77115C" w14:textId="142E9D6F" w:rsidR="00C53178" w:rsidRPr="00F246B6" w:rsidRDefault="00C53178">
      <w:pPr>
        <w:rPr>
          <w:szCs w:val="24"/>
        </w:rPr>
      </w:pPr>
    </w:p>
    <w:sectPr w:rsidR="00C53178" w:rsidRPr="00F246B6" w:rsidSect="003E4F4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15ABF" w14:textId="77777777" w:rsidR="00303457" w:rsidRDefault="00303457" w:rsidP="00011F2C">
      <w:pPr>
        <w:spacing w:after="0" w:line="240" w:lineRule="auto"/>
      </w:pPr>
      <w:r>
        <w:separator/>
      </w:r>
    </w:p>
  </w:endnote>
  <w:endnote w:type="continuationSeparator" w:id="0">
    <w:p w14:paraId="01F1EBB8" w14:textId="77777777" w:rsidR="00303457" w:rsidRDefault="00303457" w:rsidP="0001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Condensed">
    <w:altName w:val="Arial"/>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1281" w14:textId="77777777" w:rsidR="00E52A19" w:rsidRDefault="00E52A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F4A4" w14:textId="57291229" w:rsidR="00CB4E9D" w:rsidRPr="002B04D8" w:rsidRDefault="00CB4E9D" w:rsidP="00CB4E9D">
    <w:pPr>
      <w:rPr>
        <w:i/>
        <w:iCs/>
        <w:color w:val="22B7C9"/>
        <w:sz w:val="22"/>
      </w:rPr>
    </w:pPr>
    <w:r w:rsidRPr="002B04D8">
      <w:rPr>
        <w:i/>
        <w:iCs/>
        <w:color w:val="22B7C9"/>
        <w:sz w:val="22"/>
      </w:rPr>
      <w:t xml:space="preserve">PRESANSE – </w:t>
    </w:r>
    <w:r w:rsidR="002B04D8" w:rsidRPr="002B04D8">
      <w:rPr>
        <w:i/>
        <w:iCs/>
        <w:color w:val="22B7C9"/>
        <w:sz w:val="22"/>
      </w:rPr>
      <w:t xml:space="preserve">Plan d’action </w:t>
    </w:r>
    <w:r w:rsidR="00B65F49" w:rsidRPr="002B04D8">
      <w:rPr>
        <w:i/>
        <w:iCs/>
        <w:color w:val="22B7C9"/>
        <w:sz w:val="22"/>
      </w:rPr>
      <w:t>relatif à l’</w:t>
    </w:r>
    <w:r w:rsidRPr="002B04D8">
      <w:rPr>
        <w:i/>
        <w:iCs/>
        <w:color w:val="22B7C9"/>
        <w:sz w:val="22"/>
      </w:rPr>
      <w:t>égalité professionnelle</w:t>
    </w:r>
    <w:r w:rsidR="00B65F49" w:rsidRPr="002B04D8">
      <w:rPr>
        <w:i/>
        <w:iCs/>
        <w:color w:val="22B7C9"/>
        <w:sz w:val="22"/>
      </w:rPr>
      <w:t xml:space="preserve"> entre les femmes et les hommes</w:t>
    </w:r>
    <w:r w:rsidRPr="002B04D8">
      <w:rPr>
        <w:i/>
        <w:iCs/>
        <w:color w:val="22B7C9"/>
        <w:sz w:val="22"/>
      </w:rPr>
      <w:t xml:space="preserve"> – </w:t>
    </w:r>
    <w:r w:rsidR="00BB0DE0">
      <w:rPr>
        <w:i/>
        <w:iCs/>
        <w:color w:val="22B7C9"/>
        <w:sz w:val="22"/>
      </w:rPr>
      <w:t xml:space="preserve">Juin </w:t>
    </w:r>
    <w:r w:rsidRPr="002B04D8">
      <w:rPr>
        <w:i/>
        <w:iCs/>
        <w:color w:val="22B7C9"/>
        <w:sz w:val="22"/>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AD70" w14:textId="77777777" w:rsidR="00E52A19" w:rsidRDefault="00E52A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186E" w14:textId="77777777" w:rsidR="00303457" w:rsidRDefault="00303457" w:rsidP="00011F2C">
      <w:pPr>
        <w:spacing w:after="0" w:line="240" w:lineRule="auto"/>
      </w:pPr>
      <w:r>
        <w:separator/>
      </w:r>
    </w:p>
  </w:footnote>
  <w:footnote w:type="continuationSeparator" w:id="0">
    <w:p w14:paraId="693374CE" w14:textId="77777777" w:rsidR="00303457" w:rsidRDefault="00303457" w:rsidP="0001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ABFA" w14:textId="77777777" w:rsidR="00E52A19" w:rsidRDefault="00E52A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795" w14:textId="738C715C" w:rsidR="00011F2C" w:rsidRDefault="00E52A19">
    <w:pPr>
      <w:pStyle w:val="En-tte"/>
    </w:pPr>
    <w:r>
      <w:rPr>
        <w:b/>
        <w:bCs/>
        <w:noProof/>
        <w:sz w:val="32"/>
        <w:szCs w:val="32"/>
      </w:rPr>
      <w:drawing>
        <wp:anchor distT="0" distB="0" distL="114300" distR="114300" simplePos="0" relativeHeight="251661312" behindDoc="0" locked="0" layoutInCell="1" allowOverlap="1" wp14:anchorId="6DE5CDB5" wp14:editId="24117930">
          <wp:simplePos x="0" y="0"/>
          <wp:positionH relativeFrom="column">
            <wp:posOffset>115</wp:posOffset>
          </wp:positionH>
          <wp:positionV relativeFrom="paragraph">
            <wp:posOffset>-249440</wp:posOffset>
          </wp:positionV>
          <wp:extent cx="1696720" cy="645160"/>
          <wp:effectExtent l="0" t="0" r="0" b="2540"/>
          <wp:wrapSquare wrapText="bothSides"/>
          <wp:docPr id="14785980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64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F2C">
      <w:rPr>
        <w:b/>
        <w:bCs/>
        <w:noProof/>
        <w:sz w:val="32"/>
        <w:szCs w:val="32"/>
      </w:rPr>
      <w:drawing>
        <wp:anchor distT="0" distB="0" distL="114300" distR="114300" simplePos="0" relativeHeight="251659264" behindDoc="0" locked="0" layoutInCell="1" allowOverlap="1" wp14:anchorId="04E9B55C" wp14:editId="7955CBCD">
          <wp:simplePos x="0" y="0"/>
          <wp:positionH relativeFrom="margin">
            <wp:align>left</wp:align>
          </wp:positionH>
          <wp:positionV relativeFrom="paragraph">
            <wp:posOffset>-250190</wp:posOffset>
          </wp:positionV>
          <wp:extent cx="1682115" cy="572135"/>
          <wp:effectExtent l="0" t="0" r="0" b="0"/>
          <wp:wrapSquare wrapText="bothSides"/>
          <wp:docPr id="83789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11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EAA0" w14:textId="77777777" w:rsidR="00E52A19" w:rsidRDefault="00E52A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2ED"/>
    <w:multiLevelType w:val="hybridMultilevel"/>
    <w:tmpl w:val="829C1258"/>
    <w:lvl w:ilvl="0" w:tplc="D5D01FC0">
      <w:start w:val="1"/>
      <w:numFmt w:val="bullet"/>
      <w:lvlText w:val="-"/>
      <w:lvlJc w:val="left"/>
      <w:pPr>
        <w:ind w:left="927" w:hanging="360"/>
      </w:pPr>
      <w:rPr>
        <w:rFonts w:ascii="Helvetica" w:eastAsia="Times New Roman" w:hAnsi="Helvetica" w:cs="Helvetic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71D04CF"/>
    <w:multiLevelType w:val="multilevel"/>
    <w:tmpl w:val="54B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70CE2"/>
    <w:multiLevelType w:val="hybridMultilevel"/>
    <w:tmpl w:val="BB1E2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44F77"/>
    <w:multiLevelType w:val="multilevel"/>
    <w:tmpl w:val="AB1A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84A85"/>
    <w:multiLevelType w:val="hybridMultilevel"/>
    <w:tmpl w:val="19DA2AB6"/>
    <w:lvl w:ilvl="0" w:tplc="3FC2440E">
      <w:start w:val="1"/>
      <w:numFmt w:val="bullet"/>
      <w:lvlText w:val=""/>
      <w:lvlJc w:val="left"/>
      <w:pPr>
        <w:ind w:left="1287" w:hanging="360"/>
      </w:pPr>
      <w:rPr>
        <w:rFonts w:ascii="Wingdings" w:hAnsi="Wingdings" w:hint="default"/>
        <w:color w:val="A00B5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15:restartNumberingAfterBreak="0">
    <w:nsid w:val="151B69D4"/>
    <w:multiLevelType w:val="multilevel"/>
    <w:tmpl w:val="5AD0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3722B"/>
    <w:multiLevelType w:val="multilevel"/>
    <w:tmpl w:val="43C2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71293"/>
    <w:multiLevelType w:val="multilevel"/>
    <w:tmpl w:val="76AE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07047"/>
    <w:multiLevelType w:val="multilevel"/>
    <w:tmpl w:val="32A0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C7CD1"/>
    <w:multiLevelType w:val="multilevel"/>
    <w:tmpl w:val="770C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E11A1"/>
    <w:multiLevelType w:val="multilevel"/>
    <w:tmpl w:val="0284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C7F2C"/>
    <w:multiLevelType w:val="multilevel"/>
    <w:tmpl w:val="1896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F2E63"/>
    <w:multiLevelType w:val="hybridMultilevel"/>
    <w:tmpl w:val="A7DAC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C4C4838"/>
    <w:multiLevelType w:val="hybridMultilevel"/>
    <w:tmpl w:val="BAE8E464"/>
    <w:lvl w:ilvl="0" w:tplc="3FC2440E">
      <w:start w:val="1"/>
      <w:numFmt w:val="bullet"/>
      <w:lvlText w:val=""/>
      <w:lvlJc w:val="left"/>
      <w:pPr>
        <w:ind w:left="1287" w:hanging="360"/>
      </w:pPr>
      <w:rPr>
        <w:rFonts w:ascii="Wingdings" w:hAnsi="Wingdings" w:hint="default"/>
        <w:color w:val="A00B58"/>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56954BDD"/>
    <w:multiLevelType w:val="hybridMultilevel"/>
    <w:tmpl w:val="34202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0C16FA"/>
    <w:multiLevelType w:val="multilevel"/>
    <w:tmpl w:val="64CE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4316AD"/>
    <w:multiLevelType w:val="multilevel"/>
    <w:tmpl w:val="212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322E2"/>
    <w:multiLevelType w:val="multilevel"/>
    <w:tmpl w:val="D1A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042CFD"/>
    <w:multiLevelType w:val="multilevel"/>
    <w:tmpl w:val="5508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3C3284"/>
    <w:multiLevelType w:val="multilevel"/>
    <w:tmpl w:val="7FDE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C20293"/>
    <w:multiLevelType w:val="multilevel"/>
    <w:tmpl w:val="CDCE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743423">
    <w:abstractNumId w:val="15"/>
  </w:num>
  <w:num w:numId="2" w16cid:durableId="1883440145">
    <w:abstractNumId w:val="11"/>
  </w:num>
  <w:num w:numId="3" w16cid:durableId="1767731499">
    <w:abstractNumId w:val="8"/>
  </w:num>
  <w:num w:numId="4" w16cid:durableId="370767412">
    <w:abstractNumId w:val="16"/>
  </w:num>
  <w:num w:numId="5" w16cid:durableId="2026904544">
    <w:abstractNumId w:val="18"/>
  </w:num>
  <w:num w:numId="6" w16cid:durableId="1749108116">
    <w:abstractNumId w:val="17"/>
  </w:num>
  <w:num w:numId="7" w16cid:durableId="1111170953">
    <w:abstractNumId w:val="0"/>
  </w:num>
  <w:num w:numId="8" w16cid:durableId="1804034102">
    <w:abstractNumId w:val="13"/>
  </w:num>
  <w:num w:numId="9" w16cid:durableId="1581256955">
    <w:abstractNumId w:val="4"/>
  </w:num>
  <w:num w:numId="10" w16cid:durableId="932667285">
    <w:abstractNumId w:val="9"/>
  </w:num>
  <w:num w:numId="11" w16cid:durableId="1065420205">
    <w:abstractNumId w:val="3"/>
  </w:num>
  <w:num w:numId="12" w16cid:durableId="1800486691">
    <w:abstractNumId w:val="14"/>
  </w:num>
  <w:num w:numId="13" w16cid:durableId="1504316649">
    <w:abstractNumId w:val="20"/>
  </w:num>
  <w:num w:numId="14" w16cid:durableId="211160515">
    <w:abstractNumId w:val="5"/>
  </w:num>
  <w:num w:numId="15" w16cid:durableId="1482116308">
    <w:abstractNumId w:val="10"/>
  </w:num>
  <w:num w:numId="16" w16cid:durableId="1366904144">
    <w:abstractNumId w:val="12"/>
  </w:num>
  <w:num w:numId="17" w16cid:durableId="2086947831">
    <w:abstractNumId w:val="6"/>
  </w:num>
  <w:num w:numId="18" w16cid:durableId="454904757">
    <w:abstractNumId w:val="1"/>
  </w:num>
  <w:num w:numId="19" w16cid:durableId="531771938">
    <w:abstractNumId w:val="2"/>
  </w:num>
  <w:num w:numId="20" w16cid:durableId="2056855588">
    <w:abstractNumId w:val="19"/>
  </w:num>
  <w:num w:numId="21" w16cid:durableId="1115248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8E"/>
    <w:rsid w:val="00002EE0"/>
    <w:rsid w:val="00011F2C"/>
    <w:rsid w:val="00016718"/>
    <w:rsid w:val="000A122A"/>
    <w:rsid w:val="000C0523"/>
    <w:rsid w:val="000C116D"/>
    <w:rsid w:val="000D31D6"/>
    <w:rsid w:val="000D7145"/>
    <w:rsid w:val="000D749C"/>
    <w:rsid w:val="000E6459"/>
    <w:rsid w:val="000E68C3"/>
    <w:rsid w:val="000F4842"/>
    <w:rsid w:val="00106773"/>
    <w:rsid w:val="00107A42"/>
    <w:rsid w:val="0013175A"/>
    <w:rsid w:val="001378ED"/>
    <w:rsid w:val="0019651E"/>
    <w:rsid w:val="001A0568"/>
    <w:rsid w:val="001F7633"/>
    <w:rsid w:val="002315EE"/>
    <w:rsid w:val="00277768"/>
    <w:rsid w:val="002B04D8"/>
    <w:rsid w:val="002B33D7"/>
    <w:rsid w:val="002C2CEF"/>
    <w:rsid w:val="002D7AC1"/>
    <w:rsid w:val="002E287E"/>
    <w:rsid w:val="002F1595"/>
    <w:rsid w:val="00303457"/>
    <w:rsid w:val="00314DC5"/>
    <w:rsid w:val="00315F6A"/>
    <w:rsid w:val="003351FB"/>
    <w:rsid w:val="003365D8"/>
    <w:rsid w:val="0034097A"/>
    <w:rsid w:val="00374461"/>
    <w:rsid w:val="003D17BD"/>
    <w:rsid w:val="003E4F45"/>
    <w:rsid w:val="003E6060"/>
    <w:rsid w:val="003F419F"/>
    <w:rsid w:val="00413FB5"/>
    <w:rsid w:val="00427F9C"/>
    <w:rsid w:val="00431D4B"/>
    <w:rsid w:val="00491A2E"/>
    <w:rsid w:val="004A30A9"/>
    <w:rsid w:val="004E6849"/>
    <w:rsid w:val="00520AD3"/>
    <w:rsid w:val="005449F7"/>
    <w:rsid w:val="005672D2"/>
    <w:rsid w:val="005823D4"/>
    <w:rsid w:val="0059428F"/>
    <w:rsid w:val="005A62F0"/>
    <w:rsid w:val="005C07B5"/>
    <w:rsid w:val="00626A0C"/>
    <w:rsid w:val="00631360"/>
    <w:rsid w:val="0064138E"/>
    <w:rsid w:val="00644760"/>
    <w:rsid w:val="00670B01"/>
    <w:rsid w:val="00681CEA"/>
    <w:rsid w:val="00682B7A"/>
    <w:rsid w:val="006B1944"/>
    <w:rsid w:val="006B383B"/>
    <w:rsid w:val="007B1BB2"/>
    <w:rsid w:val="007E7530"/>
    <w:rsid w:val="008318F0"/>
    <w:rsid w:val="00890D1C"/>
    <w:rsid w:val="008C3AEC"/>
    <w:rsid w:val="008D6F61"/>
    <w:rsid w:val="0093214E"/>
    <w:rsid w:val="009371E2"/>
    <w:rsid w:val="009466DB"/>
    <w:rsid w:val="00947FB7"/>
    <w:rsid w:val="0096210F"/>
    <w:rsid w:val="00962E97"/>
    <w:rsid w:val="009656D9"/>
    <w:rsid w:val="00967806"/>
    <w:rsid w:val="009A1847"/>
    <w:rsid w:val="009C5C63"/>
    <w:rsid w:val="009D7E0C"/>
    <w:rsid w:val="00A122B8"/>
    <w:rsid w:val="00A40CFA"/>
    <w:rsid w:val="00A90ADB"/>
    <w:rsid w:val="00AA3624"/>
    <w:rsid w:val="00AA572A"/>
    <w:rsid w:val="00AC1B4A"/>
    <w:rsid w:val="00AE584A"/>
    <w:rsid w:val="00AF13ED"/>
    <w:rsid w:val="00B04E49"/>
    <w:rsid w:val="00B65F49"/>
    <w:rsid w:val="00B756C2"/>
    <w:rsid w:val="00B80A47"/>
    <w:rsid w:val="00B868A3"/>
    <w:rsid w:val="00BB0DE0"/>
    <w:rsid w:val="00BB10DE"/>
    <w:rsid w:val="00BC52E4"/>
    <w:rsid w:val="00BD09C5"/>
    <w:rsid w:val="00BD7B29"/>
    <w:rsid w:val="00C146CF"/>
    <w:rsid w:val="00C21D50"/>
    <w:rsid w:val="00C434CC"/>
    <w:rsid w:val="00C53178"/>
    <w:rsid w:val="00C73785"/>
    <w:rsid w:val="00C75670"/>
    <w:rsid w:val="00CA4474"/>
    <w:rsid w:val="00CB4E9D"/>
    <w:rsid w:val="00CE2183"/>
    <w:rsid w:val="00CE3D5B"/>
    <w:rsid w:val="00D16316"/>
    <w:rsid w:val="00D56A67"/>
    <w:rsid w:val="00D63D81"/>
    <w:rsid w:val="00D75BE3"/>
    <w:rsid w:val="00D81D82"/>
    <w:rsid w:val="00D947A9"/>
    <w:rsid w:val="00DA750B"/>
    <w:rsid w:val="00DB4462"/>
    <w:rsid w:val="00DC023C"/>
    <w:rsid w:val="00DC528E"/>
    <w:rsid w:val="00DC6859"/>
    <w:rsid w:val="00DD1C2C"/>
    <w:rsid w:val="00DD35B8"/>
    <w:rsid w:val="00E21CB2"/>
    <w:rsid w:val="00E30DF6"/>
    <w:rsid w:val="00E41FD9"/>
    <w:rsid w:val="00E52A19"/>
    <w:rsid w:val="00E54C38"/>
    <w:rsid w:val="00E61B44"/>
    <w:rsid w:val="00E85E9A"/>
    <w:rsid w:val="00EA10C9"/>
    <w:rsid w:val="00EE1898"/>
    <w:rsid w:val="00F07B11"/>
    <w:rsid w:val="00F246B6"/>
    <w:rsid w:val="00F56119"/>
    <w:rsid w:val="00F70B9B"/>
    <w:rsid w:val="00F74AA6"/>
    <w:rsid w:val="00F8602E"/>
    <w:rsid w:val="00FB3ED2"/>
    <w:rsid w:val="00FF4B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94AF"/>
  <w15:chartTrackingRefBased/>
  <w15:docId w15:val="{21F05DF1-C76B-4008-B9BB-B95C1A21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4E"/>
    <w:pPr>
      <w:jc w:val="both"/>
    </w:pPr>
    <w:rPr>
      <w:rFonts w:ascii="Roboto Condensed" w:hAnsi="Roboto Condensed"/>
      <w:sz w:val="24"/>
    </w:rPr>
  </w:style>
  <w:style w:type="paragraph" w:styleId="Titre1">
    <w:name w:val="heading 1"/>
    <w:basedOn w:val="Normal"/>
    <w:next w:val="Normal"/>
    <w:link w:val="Titre1Car"/>
    <w:uiPriority w:val="9"/>
    <w:qFormat/>
    <w:rsid w:val="0093214E"/>
    <w:pPr>
      <w:keepNext/>
      <w:keepLines/>
      <w:spacing w:before="240" w:after="0"/>
      <w:jc w:val="center"/>
      <w:outlineLvl w:val="0"/>
    </w:pPr>
    <w:rPr>
      <w:rFonts w:eastAsiaTheme="majorEastAsia" w:cstheme="majorBidi"/>
      <w:b/>
      <w:color w:val="22B7C9"/>
      <w:sz w:val="40"/>
      <w:szCs w:val="32"/>
    </w:rPr>
  </w:style>
  <w:style w:type="paragraph" w:styleId="Titre2">
    <w:name w:val="heading 2"/>
    <w:basedOn w:val="Normal"/>
    <w:next w:val="Normal"/>
    <w:link w:val="Titre2Car"/>
    <w:uiPriority w:val="9"/>
    <w:unhideWhenUsed/>
    <w:qFormat/>
    <w:rsid w:val="0093214E"/>
    <w:pPr>
      <w:keepNext/>
      <w:keepLines/>
      <w:spacing w:before="40" w:after="0"/>
      <w:outlineLvl w:val="1"/>
    </w:pPr>
    <w:rPr>
      <w:rFonts w:eastAsiaTheme="majorEastAsia" w:cstheme="majorBidi"/>
      <w:b/>
      <w:color w:val="22B7C9"/>
      <w:sz w:val="28"/>
      <w:szCs w:val="26"/>
    </w:rPr>
  </w:style>
  <w:style w:type="paragraph" w:styleId="Titre3">
    <w:name w:val="heading 3"/>
    <w:basedOn w:val="Normal"/>
    <w:next w:val="Normal"/>
    <w:link w:val="Titre3Car"/>
    <w:uiPriority w:val="9"/>
    <w:semiHidden/>
    <w:unhideWhenUsed/>
    <w:qFormat/>
    <w:rsid w:val="007E7530"/>
    <w:pPr>
      <w:keepNext/>
      <w:keepLines/>
      <w:spacing w:before="40" w:after="0"/>
      <w:outlineLvl w:val="2"/>
    </w:pPr>
    <w:rPr>
      <w:rFonts w:asciiTheme="majorHAnsi" w:eastAsiaTheme="majorEastAsia" w:hAnsiTheme="majorHAnsi" w:cstheme="majorBidi"/>
      <w:color w:val="0A2F40"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11F2C"/>
    <w:pPr>
      <w:tabs>
        <w:tab w:val="center" w:pos="4536"/>
        <w:tab w:val="right" w:pos="9072"/>
      </w:tabs>
      <w:spacing w:after="0" w:line="240" w:lineRule="auto"/>
    </w:pPr>
  </w:style>
  <w:style w:type="character" w:customStyle="1" w:styleId="En-tteCar">
    <w:name w:val="En-tête Car"/>
    <w:basedOn w:val="Policepardfaut"/>
    <w:link w:val="En-tte"/>
    <w:uiPriority w:val="99"/>
    <w:rsid w:val="00011F2C"/>
  </w:style>
  <w:style w:type="paragraph" w:styleId="Pieddepage">
    <w:name w:val="footer"/>
    <w:basedOn w:val="Normal"/>
    <w:link w:val="PieddepageCar"/>
    <w:uiPriority w:val="99"/>
    <w:unhideWhenUsed/>
    <w:rsid w:val="00011F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1F2C"/>
  </w:style>
  <w:style w:type="paragraph" w:styleId="Titre">
    <w:name w:val="Title"/>
    <w:basedOn w:val="Normal"/>
    <w:next w:val="Normal"/>
    <w:link w:val="TitreCar"/>
    <w:uiPriority w:val="10"/>
    <w:qFormat/>
    <w:rsid w:val="0093214E"/>
    <w:pPr>
      <w:spacing w:after="0" w:line="360" w:lineRule="auto"/>
      <w:contextualSpacing/>
      <w:jc w:val="center"/>
    </w:pPr>
    <w:rPr>
      <w:rFonts w:eastAsiaTheme="majorEastAsia" w:cstheme="majorBidi"/>
      <w:b/>
      <w:color w:val="22B7C9"/>
      <w:spacing w:val="-10"/>
      <w:kern w:val="28"/>
      <w:sz w:val="56"/>
      <w:szCs w:val="56"/>
    </w:rPr>
  </w:style>
  <w:style w:type="character" w:customStyle="1" w:styleId="TitreCar">
    <w:name w:val="Titre Car"/>
    <w:basedOn w:val="Policepardfaut"/>
    <w:link w:val="Titre"/>
    <w:uiPriority w:val="10"/>
    <w:rsid w:val="0093214E"/>
    <w:rPr>
      <w:rFonts w:ascii="Roboto Condensed" w:eastAsiaTheme="majorEastAsia" w:hAnsi="Roboto Condensed" w:cstheme="majorBidi"/>
      <w:b/>
      <w:color w:val="22B7C9"/>
      <w:spacing w:val="-10"/>
      <w:kern w:val="28"/>
      <w:sz w:val="56"/>
      <w:szCs w:val="56"/>
    </w:rPr>
  </w:style>
  <w:style w:type="character" w:customStyle="1" w:styleId="Titre1Car">
    <w:name w:val="Titre 1 Car"/>
    <w:basedOn w:val="Policepardfaut"/>
    <w:link w:val="Titre1"/>
    <w:uiPriority w:val="9"/>
    <w:rsid w:val="0093214E"/>
    <w:rPr>
      <w:rFonts w:ascii="Roboto Condensed" w:eastAsiaTheme="majorEastAsia" w:hAnsi="Roboto Condensed" w:cstheme="majorBidi"/>
      <w:b/>
      <w:color w:val="22B7C9"/>
      <w:sz w:val="40"/>
      <w:szCs w:val="32"/>
    </w:rPr>
  </w:style>
  <w:style w:type="character" w:customStyle="1" w:styleId="Titre2Car">
    <w:name w:val="Titre 2 Car"/>
    <w:basedOn w:val="Policepardfaut"/>
    <w:link w:val="Titre2"/>
    <w:uiPriority w:val="9"/>
    <w:rsid w:val="0093214E"/>
    <w:rPr>
      <w:rFonts w:ascii="Roboto Condensed" w:eastAsiaTheme="majorEastAsia" w:hAnsi="Roboto Condensed" w:cstheme="majorBidi"/>
      <w:b/>
      <w:color w:val="22B7C9"/>
      <w:sz w:val="28"/>
      <w:szCs w:val="26"/>
    </w:rPr>
  </w:style>
  <w:style w:type="character" w:styleId="Marquedecommentaire">
    <w:name w:val="annotation reference"/>
    <w:basedOn w:val="Policepardfaut"/>
    <w:uiPriority w:val="99"/>
    <w:semiHidden/>
    <w:unhideWhenUsed/>
    <w:rsid w:val="009656D9"/>
    <w:rPr>
      <w:sz w:val="16"/>
      <w:szCs w:val="16"/>
    </w:rPr>
  </w:style>
  <w:style w:type="paragraph" w:styleId="Commentaire">
    <w:name w:val="annotation text"/>
    <w:basedOn w:val="Normal"/>
    <w:link w:val="CommentaireCar"/>
    <w:uiPriority w:val="99"/>
    <w:unhideWhenUsed/>
    <w:rsid w:val="009656D9"/>
    <w:pPr>
      <w:spacing w:line="240" w:lineRule="auto"/>
    </w:pPr>
    <w:rPr>
      <w:sz w:val="20"/>
      <w:szCs w:val="20"/>
    </w:rPr>
  </w:style>
  <w:style w:type="character" w:customStyle="1" w:styleId="CommentaireCar">
    <w:name w:val="Commentaire Car"/>
    <w:basedOn w:val="Policepardfaut"/>
    <w:link w:val="Commentaire"/>
    <w:uiPriority w:val="99"/>
    <w:rsid w:val="009656D9"/>
    <w:rPr>
      <w:rFonts w:ascii="Roboto Condensed" w:hAnsi="Roboto Condensed"/>
      <w:sz w:val="20"/>
      <w:szCs w:val="20"/>
    </w:rPr>
  </w:style>
  <w:style w:type="paragraph" w:styleId="Objetducommentaire">
    <w:name w:val="annotation subject"/>
    <w:basedOn w:val="Commentaire"/>
    <w:next w:val="Commentaire"/>
    <w:link w:val="ObjetducommentaireCar"/>
    <w:uiPriority w:val="99"/>
    <w:semiHidden/>
    <w:unhideWhenUsed/>
    <w:rsid w:val="009656D9"/>
    <w:rPr>
      <w:b/>
      <w:bCs/>
    </w:rPr>
  </w:style>
  <w:style w:type="character" w:customStyle="1" w:styleId="ObjetducommentaireCar">
    <w:name w:val="Objet du commentaire Car"/>
    <w:basedOn w:val="CommentaireCar"/>
    <w:link w:val="Objetducommentaire"/>
    <w:uiPriority w:val="99"/>
    <w:semiHidden/>
    <w:rsid w:val="009656D9"/>
    <w:rPr>
      <w:rFonts w:ascii="Roboto Condensed" w:hAnsi="Roboto Condensed"/>
      <w:b/>
      <w:bCs/>
      <w:sz w:val="20"/>
      <w:szCs w:val="20"/>
    </w:rPr>
  </w:style>
  <w:style w:type="table" w:customStyle="1" w:styleId="Grilledutableau1">
    <w:name w:val="Grille du tableau1"/>
    <w:basedOn w:val="TableauNormal"/>
    <w:next w:val="Grilledutableau"/>
    <w:uiPriority w:val="59"/>
    <w:rsid w:val="00E54C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E5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106773"/>
    <w:pPr>
      <w:ind w:left="720"/>
      <w:contextualSpacing/>
    </w:pPr>
  </w:style>
  <w:style w:type="character" w:customStyle="1" w:styleId="Titre3Car">
    <w:name w:val="Titre 3 Car"/>
    <w:basedOn w:val="Policepardfaut"/>
    <w:link w:val="Titre3"/>
    <w:uiPriority w:val="9"/>
    <w:semiHidden/>
    <w:rsid w:val="007E7530"/>
    <w:rPr>
      <w:rFonts w:asciiTheme="majorHAnsi" w:eastAsiaTheme="majorEastAsia" w:hAnsiTheme="majorHAnsi" w:cstheme="majorBidi"/>
      <w:color w:val="0A2F40" w:themeColor="accent1" w:themeShade="7F"/>
      <w:sz w:val="24"/>
      <w:szCs w:val="24"/>
    </w:rPr>
  </w:style>
  <w:style w:type="character" w:styleId="Lienhypertexte">
    <w:name w:val="Hyperlink"/>
    <w:basedOn w:val="Policepardfaut"/>
    <w:uiPriority w:val="99"/>
    <w:unhideWhenUsed/>
    <w:rsid w:val="007E7530"/>
    <w:rPr>
      <w:color w:val="0000FF"/>
      <w:u w:val="single"/>
    </w:rPr>
  </w:style>
  <w:style w:type="paragraph" w:styleId="Sous-titre">
    <w:name w:val="Subtitle"/>
    <w:basedOn w:val="Normal"/>
    <w:next w:val="Normal"/>
    <w:link w:val="Sous-titreCar"/>
    <w:uiPriority w:val="11"/>
    <w:qFormat/>
    <w:rsid w:val="00F246B6"/>
    <w:pPr>
      <w:numPr>
        <w:ilvl w:val="1"/>
      </w:numPr>
    </w:pPr>
    <w:rPr>
      <w:rFonts w:eastAsiaTheme="minorEastAsia"/>
      <w:b/>
      <w:spacing w:val="15"/>
    </w:rPr>
  </w:style>
  <w:style w:type="character" w:customStyle="1" w:styleId="Sous-titreCar">
    <w:name w:val="Sous-titre Car"/>
    <w:basedOn w:val="Policepardfaut"/>
    <w:link w:val="Sous-titre"/>
    <w:uiPriority w:val="11"/>
    <w:rsid w:val="00F246B6"/>
    <w:rPr>
      <w:rFonts w:ascii="Roboto Condensed" w:eastAsiaTheme="minorEastAsia" w:hAnsi="Roboto Condensed"/>
      <w:b/>
      <w:spacing w:val="15"/>
      <w:sz w:val="24"/>
    </w:rPr>
  </w:style>
  <w:style w:type="paragraph" w:styleId="Rvision">
    <w:name w:val="Revision"/>
    <w:hidden/>
    <w:uiPriority w:val="99"/>
    <w:semiHidden/>
    <w:rsid w:val="00F246B6"/>
    <w:pPr>
      <w:spacing w:after="0" w:line="240" w:lineRule="auto"/>
    </w:pPr>
    <w:rPr>
      <w:rFonts w:ascii="Roboto Condensed" w:hAnsi="Roboto Condensed"/>
      <w:sz w:val="24"/>
    </w:rPr>
  </w:style>
  <w:style w:type="paragraph" w:styleId="Citation">
    <w:name w:val="Quote"/>
    <w:basedOn w:val="Normal"/>
    <w:next w:val="Normal"/>
    <w:link w:val="CitationCar"/>
    <w:uiPriority w:val="29"/>
    <w:qFormat/>
    <w:rsid w:val="00DC023C"/>
    <w:pPr>
      <w:spacing w:before="200"/>
      <w:ind w:left="864" w:right="864"/>
    </w:pPr>
    <w:rPr>
      <w:i/>
      <w:iCs/>
      <w:color w:val="404040" w:themeColor="text1" w:themeTint="BF"/>
      <w:sz w:val="22"/>
    </w:rPr>
  </w:style>
  <w:style w:type="character" w:customStyle="1" w:styleId="CitationCar">
    <w:name w:val="Citation Car"/>
    <w:basedOn w:val="Policepardfaut"/>
    <w:link w:val="Citation"/>
    <w:uiPriority w:val="29"/>
    <w:rsid w:val="00DC023C"/>
    <w:rPr>
      <w:rFonts w:ascii="Roboto Condensed" w:hAnsi="Roboto Condensed"/>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85436-327e-415b-b06d-9a0f2bb5655f" xsi:nil="true"/>
    <lcf76f155ced4ddcb4097134ff3c332f xmlns="8d0b0ac5-0d1c-41d9-94b4-e86f374842b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A735923CCB544A8FC22400479B6F60" ma:contentTypeVersion="19" ma:contentTypeDescription="Crée un document." ma:contentTypeScope="" ma:versionID="f55a5ed6f4ff2fb4a9ab8536349dfe53">
  <xsd:schema xmlns:xsd="http://www.w3.org/2001/XMLSchema" xmlns:xs="http://www.w3.org/2001/XMLSchema" xmlns:p="http://schemas.microsoft.com/office/2006/metadata/properties" xmlns:ns2="8d0b0ac5-0d1c-41d9-94b4-e86f374842b7" xmlns:ns3="ce685436-327e-415b-b06d-9a0f2bb5655f" targetNamespace="http://schemas.microsoft.com/office/2006/metadata/properties" ma:root="true" ma:fieldsID="a645a60a38bd425b8a6ff12c610c8855" ns2:_="" ns3:_="">
    <xsd:import namespace="8d0b0ac5-0d1c-41d9-94b4-e86f374842b7"/>
    <xsd:import namespace="ce685436-327e-415b-b06d-9a0f2bb565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b0ac5-0d1c-41d9-94b4-e86f3748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bf61e71-71de-474e-85fa-8e7095b4b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85436-327e-415b-b06d-9a0f2bb5655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8dfca8e-a50c-4c5a-b2bd-3eaad65dc888}" ma:internalName="TaxCatchAll" ma:showField="CatchAllData" ma:web="ce685436-327e-415b-b06d-9a0f2bb5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4B95B-A172-468B-B515-6ED73FFC2B8E}">
  <ds:schemaRefs>
    <ds:schemaRef ds:uri="http://schemas.microsoft.com/office/2006/metadata/properties"/>
    <ds:schemaRef ds:uri="http://schemas.microsoft.com/office/infopath/2007/PartnerControls"/>
    <ds:schemaRef ds:uri="eb4c67a9-1f5a-4a6e-8828-1defd2f754a1"/>
    <ds:schemaRef ds:uri="9716835b-fd81-40cf-bde7-356dde6b2974"/>
  </ds:schemaRefs>
</ds:datastoreItem>
</file>

<file path=customXml/itemProps2.xml><?xml version="1.0" encoding="utf-8"?>
<ds:datastoreItem xmlns:ds="http://schemas.openxmlformats.org/officeDocument/2006/customXml" ds:itemID="{521E17C1-1ED9-4A99-9681-81916AC66EEB}">
  <ds:schemaRefs>
    <ds:schemaRef ds:uri="http://schemas.openxmlformats.org/officeDocument/2006/bibliography"/>
  </ds:schemaRefs>
</ds:datastoreItem>
</file>

<file path=customXml/itemProps3.xml><?xml version="1.0" encoding="utf-8"?>
<ds:datastoreItem xmlns:ds="http://schemas.openxmlformats.org/officeDocument/2006/customXml" ds:itemID="{CF03B60E-39A3-4FEC-A696-31EE4F297D4F}"/>
</file>

<file path=customXml/itemProps4.xml><?xml version="1.0" encoding="utf-8"?>
<ds:datastoreItem xmlns:ds="http://schemas.openxmlformats.org/officeDocument/2006/customXml" ds:itemID="{D9325C02-8B9C-4D6F-BF2D-B2AB067172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7</Pages>
  <Words>1219</Words>
  <Characters>6708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NIKOLIC</dc:creator>
  <cp:keywords/>
  <dc:description/>
  <cp:lastModifiedBy>Stefan NIKOLIC</cp:lastModifiedBy>
  <cp:revision>103</cp:revision>
  <dcterms:created xsi:type="dcterms:W3CDTF">2026-04-20T12:57:00Z</dcterms:created>
  <dcterms:modified xsi:type="dcterms:W3CDTF">2026-06-04T09:05:00Z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0x01010040A735923CCB544A8FC22400479B6F60</vt:lpwstr>
  </property>
</Properties>
</file>